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C9" w:rsidRDefault="00F12EC9">
      <w:pPr>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霸州市民政局</w:t>
      </w: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年部门预算信息公开</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按照《预算法》、《地方预决算公开操作规程》和《河北省省级预算公开办法》规定，现将霸州市民政局</w:t>
      </w:r>
      <w:r>
        <w:rPr>
          <w:rFonts w:ascii="仿宋" w:eastAsia="仿宋" w:hAnsi="仿宋"/>
          <w:sz w:val="32"/>
          <w:szCs w:val="32"/>
        </w:rPr>
        <w:t>2017</w:t>
      </w:r>
      <w:r>
        <w:rPr>
          <w:rFonts w:ascii="仿宋" w:eastAsia="仿宋" w:hAnsi="仿宋" w:hint="eastAsia"/>
          <w:sz w:val="32"/>
          <w:szCs w:val="32"/>
        </w:rPr>
        <w:t>年部门预算公开如下：</w:t>
      </w:r>
    </w:p>
    <w:p w:rsidR="00F12EC9" w:rsidRDefault="00F12EC9">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F12EC9" w:rsidRDefault="00F12EC9">
      <w:pPr>
        <w:ind w:firstLineChars="200" w:firstLine="643"/>
        <w:rPr>
          <w:rFonts w:ascii="楷体" w:eastAsia="楷体" w:hAnsi="楷体"/>
          <w:b/>
          <w:sz w:val="32"/>
          <w:szCs w:val="32"/>
        </w:rPr>
      </w:pPr>
      <w:r>
        <w:rPr>
          <w:rFonts w:ascii="楷体" w:eastAsia="楷体" w:hAnsi="楷体" w:hint="eastAsia"/>
          <w:b/>
          <w:sz w:val="32"/>
          <w:szCs w:val="32"/>
        </w:rPr>
        <w:t>部门职责：</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（一）研究制定全市民政事业发展战略，编制民政事业发展规划和年度计划</w:t>
      </w:r>
      <w:r>
        <w:rPr>
          <w:rFonts w:ascii="仿宋" w:eastAsia="仿宋" w:hAnsi="仿宋"/>
          <w:sz w:val="32"/>
          <w:szCs w:val="32"/>
        </w:rPr>
        <w:t>;</w:t>
      </w:r>
      <w:r>
        <w:rPr>
          <w:rFonts w:ascii="仿宋" w:eastAsia="仿宋" w:hAnsi="仿宋" w:hint="eastAsia"/>
          <w:sz w:val="32"/>
          <w:szCs w:val="32"/>
        </w:rPr>
        <w:t>负责全市民政信息、宣传、信访和政策理论研究工作；负责全市民政行政执法、监督检查、行政复议工作。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二）负责全市性社会团体的审批登记管理和年度检查，根据中央、省及有关部门法律、法规和规章的规定，拟定有关管理规定和办法；监督社团活动，查处社团组织违法行为和未登记而以社团名义开展活动的非法组织。</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（三）负责市直单位、驻霸中省直单位所属和挂靠的民办非企业单位和年度检查；查处民办非企业单位违法行为和未登记的民办非企业单位。</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四）组织指导全市拥军优属、拥政爱民活动；负责全市各类优抚对象优待、抚恤、补助和国家机关工作人员伤残管理工作；负责革命烈士审核报批工作；负责革命烈士、因公伤亡人员和病故军人的一次性抚恤工作；审核报批全市重点烈士纪念建筑物保护单位；负责革命烈士史料收集、整理、编纂；承担双拥工作领导小组的日常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（五）指导全市退伍义务兵、转业士官、复员退役伤病残士兵的接收安置工作；负责驻霸中省、市直单位城镇退役士兵、转业士官安置发配工作；指导军地两用人才培训和开发使用工作。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（六）负责廊坊军队离退休干部安置办公室移交本市管理的军队离、退休干部和军队无军籍退休退职职工接收安置、管理服务工作；指导全市军队离退休干部休养所的建设和服务管理工作。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（七）指导全市救灾工作和灾区生产自救、发放救灾款物工作；检查监督救灾款物使用权用情况；组织指导全市救灾捐赠工作，积极开展经常性社会捐助活动及救灾物资的仓储管理。</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八）负责全市城乡社会救济和农村五保供养政策的落实；组织、指导扶贫济困等社会互助活动；负责全市性社会福利募捐义演；全面实施城乡居民最低生活保障制度，按照“应保尽保”的原则，切实保障城乡居民的革本生活。</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（九）承担老年人、孤儿、五保户等特殊困难群众权益保护和行政管理工作，指导残疾人权益保障工作。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研究提出全市加强和改进基层政权、基层民主政治建设的意见和建议；指导全市村委全、居委会等自治组织建设及有关人员培训工作，推进村务、居务公开，指导社区建设并负责社区典型经验的总结和推广。</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（十一）负责全市婚姻登记及管理工作；拟定全市婚姻服务机构管理办法；倡导婚姻习俗改革；依法查年非法婚姻。</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（十二）拟定全市行政区划总体规划；居办村委会、城市街道办事处的设立、撤销、界线变更的调查、论证、审核工作；负责级、镇的设立、撤销、驻地迁移申报工作。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（十三）负责全市行政区划名称、重要自然地理实体命名、更名的申报或审批工作；依法规范全市城乡地名标志设置和管理，组织指导全市推行地名标准化、信息化建设和标准地名书图资料编辑及审定。</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（十四）负责全市边界勘定和边争议调处。</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五）研究制定并组织实施社会福利事业发展规划和各类福利设施管理服务标准及全市社会福利社会化工作；会同有关部门研究制定并监督实施全市残疾人就业和社会福利生产扶持保护政策；制定全市福利生产发展规划；对社会福利生产企业进行指导和宏观管理。</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（十六）负责全市收养登记工作；积极推行殡葬改革，加强全市殡葬事业单位的管理；负责流浪乞讨人员的收容遣送工作。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（十七）主管全市对内扶贫和对口帮扶工作。协调有关部门与贫困村、贫困户结对子，办实事。积极争取资金，采取有效措施，帮助贫困村、贫困户尽快脱贫。</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（十八）指导监督全市民政事业费的管理；负责管理和统计全市民政事业发展工作；负责审计专项款物的使用情况。</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（十九）指导各乡镇（区、办）基层民政组织建设工作。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（二十）负责全市社会福利有奖募捐工作。</w:t>
      </w:r>
    </w:p>
    <w:p w:rsidR="00F12EC9" w:rsidRDefault="00F12EC9">
      <w:pPr>
        <w:spacing w:line="580" w:lineRule="atLeast"/>
        <w:ind w:firstLineChars="200" w:firstLine="640"/>
        <w:rPr>
          <w:rFonts w:ascii="仿宋" w:eastAsia="仿宋" w:hAnsi="仿宋"/>
          <w:sz w:val="32"/>
          <w:szCs w:val="32"/>
        </w:rPr>
      </w:pPr>
      <w:r>
        <w:rPr>
          <w:rFonts w:ascii="仿宋" w:eastAsia="仿宋" w:hAnsi="仿宋" w:hint="eastAsia"/>
          <w:sz w:val="32"/>
          <w:szCs w:val="32"/>
        </w:rPr>
        <w:t>（二十一）承办市政府交办的基它事项。</w:t>
      </w:r>
    </w:p>
    <w:p w:rsidR="00F12EC9" w:rsidRDefault="00F12EC9">
      <w:pPr>
        <w:autoSpaceDE w:val="0"/>
        <w:autoSpaceDN w:val="0"/>
        <w:adjustRightInd w:val="0"/>
        <w:ind w:firstLineChars="200" w:firstLine="643"/>
        <w:jc w:val="left"/>
        <w:rPr>
          <w:rFonts w:ascii="楷体" w:eastAsia="楷体" w:hAnsi="楷体"/>
          <w:b/>
          <w:sz w:val="32"/>
          <w:szCs w:val="32"/>
        </w:rPr>
      </w:pPr>
      <w:r>
        <w:rPr>
          <w:rFonts w:ascii="楷体" w:eastAsia="楷体" w:hAnsi="楷体" w:hint="eastAsia"/>
          <w:b/>
          <w:sz w:val="32"/>
          <w:szCs w:val="32"/>
        </w:rPr>
        <w:t>机构设置：</w:t>
      </w:r>
    </w:p>
    <w:tbl>
      <w:tblPr>
        <w:tblW w:w="10093"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1875"/>
        <w:gridCol w:w="2265"/>
        <w:gridCol w:w="2977"/>
      </w:tblGrid>
      <w:tr w:rsidR="00F12EC9">
        <w:trPr>
          <w:jc w:val="center"/>
        </w:trPr>
        <w:tc>
          <w:tcPr>
            <w:tcW w:w="2976"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单位名称</w:t>
            </w:r>
          </w:p>
        </w:tc>
        <w:tc>
          <w:tcPr>
            <w:tcW w:w="1875"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单位性质</w:t>
            </w:r>
          </w:p>
        </w:tc>
        <w:tc>
          <w:tcPr>
            <w:tcW w:w="2265"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单位规格</w:t>
            </w:r>
          </w:p>
        </w:tc>
        <w:tc>
          <w:tcPr>
            <w:tcW w:w="297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经费保障形式</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霸州市民政局</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行政</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正科级</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财政拨款</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霸州市光荣院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霸州市殡仪馆</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差额事业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财政性资金定额或定项补助</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霸州市中心敬老院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霸州市胜芳镇中心敬老院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霸州市霸州镇敬老院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霸州市南孟镇敬老院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霸州市扬芬港镇敬老院</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财政性资金基本保证</w:t>
            </w:r>
          </w:p>
        </w:tc>
      </w:tr>
      <w:tr w:rsidR="00F12EC9">
        <w:trPr>
          <w:jc w:val="center"/>
        </w:trPr>
        <w:tc>
          <w:tcPr>
            <w:tcW w:w="2976"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霸州市福利彩票发行管理中心</w:t>
            </w:r>
          </w:p>
        </w:tc>
        <w:tc>
          <w:tcPr>
            <w:tcW w:w="187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全额事业</w:t>
            </w:r>
          </w:p>
        </w:tc>
        <w:tc>
          <w:tcPr>
            <w:tcW w:w="2265"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其他</w:t>
            </w:r>
          </w:p>
        </w:tc>
        <w:tc>
          <w:tcPr>
            <w:tcW w:w="297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财政性资金零补助</w:t>
            </w:r>
          </w:p>
        </w:tc>
      </w:tr>
    </w:tbl>
    <w:p w:rsidR="00F12EC9" w:rsidRDefault="00F12EC9">
      <w:pPr>
        <w:spacing w:line="580" w:lineRule="atLeast"/>
        <w:ind w:firstLineChars="200" w:firstLine="640"/>
        <w:rPr>
          <w:rFonts w:ascii="黑体" w:eastAsia="黑体" w:hAnsi="黑体"/>
          <w:sz w:val="32"/>
          <w:szCs w:val="32"/>
        </w:rPr>
      </w:pPr>
      <w:r>
        <w:rPr>
          <w:rFonts w:ascii="黑体" w:eastAsia="黑体" w:hAnsi="黑体" w:hint="eastAsia"/>
          <w:sz w:val="32"/>
          <w:szCs w:val="32"/>
        </w:rPr>
        <w:t>二、部门预算安排总体情况</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按照预算管理有关规定，目前我市部门预算的编制实行综合预算制度，即全部收入和支出都反映在预算中。</w:t>
      </w:r>
    </w:p>
    <w:p w:rsidR="00F12EC9" w:rsidRDefault="00F12EC9">
      <w:pPr>
        <w:ind w:firstLineChars="200" w:firstLine="643"/>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反映本部门当年全部收入。</w:t>
      </w:r>
      <w:r>
        <w:rPr>
          <w:rFonts w:ascii="仿宋" w:eastAsia="仿宋" w:hAnsi="仿宋"/>
          <w:sz w:val="32"/>
          <w:szCs w:val="32"/>
        </w:rPr>
        <w:t>2017</w:t>
      </w:r>
      <w:r>
        <w:rPr>
          <w:rFonts w:ascii="仿宋" w:eastAsia="仿宋" w:hAnsi="仿宋" w:hint="eastAsia"/>
          <w:sz w:val="32"/>
          <w:szCs w:val="32"/>
        </w:rPr>
        <w:t>年预算收入</w:t>
      </w:r>
      <w:r>
        <w:rPr>
          <w:rFonts w:ascii="仿宋" w:eastAsia="仿宋" w:hAnsi="仿宋"/>
          <w:sz w:val="32"/>
          <w:szCs w:val="32"/>
        </w:rPr>
        <w:t>8327.46</w:t>
      </w:r>
      <w:r>
        <w:rPr>
          <w:rFonts w:ascii="仿宋" w:eastAsia="仿宋" w:hAnsi="仿宋" w:hint="eastAsia"/>
          <w:sz w:val="32"/>
          <w:szCs w:val="32"/>
        </w:rPr>
        <w:t>万元，其中：一般公共预算收入</w:t>
      </w:r>
      <w:r>
        <w:rPr>
          <w:rFonts w:ascii="仿宋" w:eastAsia="仿宋" w:hAnsi="仿宋"/>
          <w:sz w:val="32"/>
          <w:szCs w:val="32"/>
        </w:rPr>
        <w:t>7162.46</w:t>
      </w:r>
      <w:r>
        <w:rPr>
          <w:rFonts w:ascii="仿宋" w:eastAsia="仿宋" w:hAnsi="仿宋" w:hint="eastAsia"/>
          <w:sz w:val="32"/>
          <w:szCs w:val="32"/>
        </w:rPr>
        <w:t>万元，政府性基金预算收入</w:t>
      </w:r>
      <w:r>
        <w:rPr>
          <w:rFonts w:ascii="仿宋" w:eastAsia="仿宋" w:hAnsi="仿宋"/>
          <w:sz w:val="32"/>
          <w:szCs w:val="32"/>
        </w:rPr>
        <w:t>1165</w:t>
      </w:r>
      <w:r>
        <w:rPr>
          <w:rFonts w:ascii="仿宋" w:eastAsia="仿宋" w:hAnsi="仿宋" w:hint="eastAsia"/>
          <w:sz w:val="32"/>
          <w:szCs w:val="32"/>
        </w:rPr>
        <w:t>万元，事业收入</w:t>
      </w:r>
      <w:r>
        <w:rPr>
          <w:rFonts w:ascii="仿宋" w:eastAsia="仿宋" w:hAnsi="仿宋"/>
          <w:sz w:val="32"/>
          <w:szCs w:val="32"/>
        </w:rPr>
        <w:t>0</w:t>
      </w:r>
      <w:r>
        <w:rPr>
          <w:rFonts w:ascii="仿宋" w:eastAsia="仿宋" w:hAnsi="仿宋" w:hint="eastAsia"/>
          <w:sz w:val="32"/>
          <w:szCs w:val="32"/>
        </w:rPr>
        <w:t>万元，经营收入</w:t>
      </w:r>
      <w:r>
        <w:rPr>
          <w:rFonts w:ascii="仿宋" w:eastAsia="仿宋" w:hAnsi="仿宋"/>
          <w:sz w:val="32"/>
          <w:szCs w:val="32"/>
        </w:rPr>
        <w:t>0</w:t>
      </w:r>
      <w:r>
        <w:rPr>
          <w:rFonts w:ascii="仿宋" w:eastAsia="仿宋" w:hAnsi="仿宋" w:hint="eastAsia"/>
          <w:sz w:val="32"/>
          <w:szCs w:val="32"/>
        </w:rPr>
        <w:t>万元，其他收入</w:t>
      </w:r>
      <w:r>
        <w:rPr>
          <w:rFonts w:ascii="仿宋" w:eastAsia="仿宋" w:hAnsi="仿宋"/>
          <w:sz w:val="32"/>
          <w:szCs w:val="32"/>
        </w:rPr>
        <w:t>0</w:t>
      </w:r>
      <w:r>
        <w:rPr>
          <w:rFonts w:ascii="仿宋" w:eastAsia="仿宋" w:hAnsi="仿宋" w:hint="eastAsia"/>
          <w:sz w:val="32"/>
          <w:szCs w:val="32"/>
        </w:rPr>
        <w:t>万元。</w:t>
      </w:r>
    </w:p>
    <w:p w:rsidR="00F12EC9" w:rsidRDefault="00F12EC9">
      <w:pPr>
        <w:ind w:firstLineChars="200" w:firstLine="643"/>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收支预算总表支出栏、基本支出表、项目支出表按经济分类和支出功能分类科目编制，反映霸州市民政局</w:t>
      </w:r>
      <w:r>
        <w:rPr>
          <w:rFonts w:ascii="仿宋" w:eastAsia="仿宋" w:hAnsi="仿宋"/>
          <w:sz w:val="32"/>
          <w:szCs w:val="32"/>
        </w:rPr>
        <w:t>2017</w:t>
      </w:r>
      <w:r>
        <w:rPr>
          <w:rFonts w:ascii="仿宋" w:eastAsia="仿宋" w:hAnsi="仿宋" w:hint="eastAsia"/>
          <w:sz w:val="32"/>
          <w:szCs w:val="32"/>
        </w:rPr>
        <w:t>年度部门预算中支出预算的总体情况。</w:t>
      </w:r>
      <w:r>
        <w:rPr>
          <w:rFonts w:ascii="仿宋" w:eastAsia="仿宋" w:hAnsi="仿宋"/>
          <w:sz w:val="32"/>
          <w:szCs w:val="32"/>
        </w:rPr>
        <w:t>2017</w:t>
      </w:r>
      <w:r>
        <w:rPr>
          <w:rFonts w:ascii="仿宋" w:eastAsia="仿宋" w:hAnsi="仿宋" w:hint="eastAsia"/>
          <w:sz w:val="32"/>
          <w:szCs w:val="32"/>
        </w:rPr>
        <w:t>年支出预算</w:t>
      </w:r>
      <w:r>
        <w:rPr>
          <w:rFonts w:ascii="仿宋" w:eastAsia="仿宋" w:hAnsi="仿宋"/>
          <w:sz w:val="32"/>
          <w:szCs w:val="32"/>
        </w:rPr>
        <w:t>8327.46</w:t>
      </w:r>
      <w:r>
        <w:rPr>
          <w:rFonts w:ascii="仿宋" w:eastAsia="仿宋" w:hAnsi="仿宋" w:hint="eastAsia"/>
          <w:sz w:val="32"/>
          <w:szCs w:val="32"/>
        </w:rPr>
        <w:t>万元，其中基本支出</w:t>
      </w:r>
      <w:r>
        <w:rPr>
          <w:rFonts w:ascii="仿宋" w:eastAsia="仿宋" w:hAnsi="仿宋"/>
          <w:sz w:val="32"/>
          <w:szCs w:val="32"/>
        </w:rPr>
        <w:t>843.83</w:t>
      </w:r>
      <w:r>
        <w:rPr>
          <w:rFonts w:ascii="仿宋" w:eastAsia="仿宋" w:hAnsi="仿宋" w:hint="eastAsia"/>
          <w:sz w:val="32"/>
          <w:szCs w:val="32"/>
        </w:rPr>
        <w:t>万元，包括人员经费和日常公用经费；项目支出</w:t>
      </w:r>
      <w:r>
        <w:rPr>
          <w:rFonts w:ascii="仿宋" w:eastAsia="仿宋" w:hAnsi="仿宋"/>
          <w:sz w:val="32"/>
          <w:szCs w:val="32"/>
        </w:rPr>
        <w:t>7483.63</w:t>
      </w:r>
      <w:r>
        <w:rPr>
          <w:rFonts w:ascii="仿宋" w:eastAsia="仿宋" w:hAnsi="仿宋" w:hint="eastAsia"/>
          <w:sz w:val="32"/>
          <w:szCs w:val="32"/>
        </w:rPr>
        <w:t>万元，全部为本级支出，主要为困难群众基本生活保障、医疗救助、自然灾害救助、养老服务体系、福利和慈善事业、双拥优抚安置管理、综合业务管理、综合事务管理等。</w:t>
      </w:r>
    </w:p>
    <w:p w:rsidR="00F12EC9" w:rsidRDefault="00F12EC9">
      <w:pPr>
        <w:ind w:firstLineChars="200" w:firstLine="643"/>
        <w:rPr>
          <w:rFonts w:ascii="楷体" w:eastAsia="楷体" w:hAnsi="楷体"/>
          <w:b/>
          <w:sz w:val="32"/>
          <w:szCs w:val="32"/>
        </w:rPr>
      </w:pPr>
      <w:r>
        <w:rPr>
          <w:rFonts w:ascii="楷体" w:eastAsia="楷体" w:hAnsi="楷体"/>
          <w:b/>
          <w:sz w:val="32"/>
          <w:szCs w:val="32"/>
        </w:rPr>
        <w:t>3</w:t>
      </w:r>
      <w:r>
        <w:rPr>
          <w:rFonts w:ascii="楷体" w:eastAsia="楷体" w:hAnsi="楷体" w:hint="eastAsia"/>
          <w:b/>
          <w:sz w:val="32"/>
          <w:szCs w:val="32"/>
        </w:rPr>
        <w:t>、比上年增减情况</w:t>
      </w:r>
    </w:p>
    <w:p w:rsidR="00F12EC9" w:rsidRDefault="00F12EC9">
      <w:pPr>
        <w:ind w:firstLineChars="200" w:firstLine="64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年预算收支安排</w:t>
      </w:r>
      <w:r>
        <w:rPr>
          <w:rFonts w:ascii="仿宋" w:eastAsia="仿宋" w:hAnsi="仿宋"/>
          <w:sz w:val="32"/>
          <w:szCs w:val="32"/>
        </w:rPr>
        <w:t>8327.46</w:t>
      </w:r>
      <w:r>
        <w:rPr>
          <w:rFonts w:ascii="仿宋" w:eastAsia="仿宋" w:hAnsi="仿宋" w:hint="eastAsia"/>
          <w:sz w:val="32"/>
          <w:szCs w:val="32"/>
        </w:rPr>
        <w:t>万元，较</w:t>
      </w:r>
      <w:r>
        <w:rPr>
          <w:rFonts w:ascii="仿宋" w:eastAsia="仿宋" w:hAnsi="仿宋"/>
          <w:sz w:val="32"/>
          <w:szCs w:val="32"/>
        </w:rPr>
        <w:t>2016</w:t>
      </w:r>
      <w:r>
        <w:rPr>
          <w:rFonts w:ascii="仿宋" w:eastAsia="仿宋" w:hAnsi="仿宋" w:hint="eastAsia"/>
          <w:sz w:val="32"/>
          <w:szCs w:val="32"/>
        </w:rPr>
        <w:t>年预算增加</w:t>
      </w:r>
      <w:r>
        <w:rPr>
          <w:rFonts w:ascii="仿宋" w:eastAsia="仿宋" w:hAnsi="仿宋"/>
          <w:sz w:val="32"/>
          <w:szCs w:val="32"/>
        </w:rPr>
        <w:t>1196</w:t>
      </w:r>
      <w:r>
        <w:rPr>
          <w:rFonts w:ascii="仿宋" w:eastAsia="仿宋" w:hAnsi="仿宋" w:hint="eastAsia"/>
          <w:sz w:val="32"/>
          <w:szCs w:val="32"/>
        </w:rPr>
        <w:t>万元，其中：基本支出减少</w:t>
      </w:r>
      <w:r>
        <w:rPr>
          <w:rFonts w:ascii="仿宋" w:eastAsia="仿宋" w:hAnsi="仿宋"/>
          <w:sz w:val="32"/>
          <w:szCs w:val="32"/>
        </w:rPr>
        <w:t>242.6</w:t>
      </w:r>
      <w:r>
        <w:rPr>
          <w:rFonts w:ascii="仿宋" w:eastAsia="仿宋" w:hAnsi="仿宋" w:hint="eastAsia"/>
          <w:sz w:val="32"/>
          <w:szCs w:val="32"/>
        </w:rPr>
        <w:t>万元，主要为因为敬老院不再安排日常公用；项目支出增加</w:t>
      </w:r>
      <w:r>
        <w:rPr>
          <w:rFonts w:ascii="仿宋" w:eastAsia="仿宋" w:hAnsi="仿宋"/>
          <w:sz w:val="32"/>
          <w:szCs w:val="32"/>
        </w:rPr>
        <w:t>508</w:t>
      </w:r>
      <w:r>
        <w:rPr>
          <w:rFonts w:ascii="仿宋" w:eastAsia="仿宋" w:hAnsi="仿宋" w:hint="eastAsia"/>
          <w:sz w:val="32"/>
          <w:szCs w:val="32"/>
        </w:rPr>
        <w:t>万元，主要为增加救助资金和敬老院服务费项目支出。基金支出增加</w:t>
      </w:r>
      <w:r>
        <w:rPr>
          <w:rFonts w:ascii="仿宋" w:eastAsia="仿宋" w:hAnsi="仿宋"/>
          <w:sz w:val="32"/>
          <w:szCs w:val="32"/>
        </w:rPr>
        <w:t>930</w:t>
      </w:r>
      <w:r>
        <w:rPr>
          <w:rFonts w:ascii="仿宋" w:eastAsia="仿宋" w:hAnsi="仿宋" w:hint="eastAsia"/>
          <w:sz w:val="32"/>
          <w:szCs w:val="32"/>
        </w:rPr>
        <w:t>万元，收入增加，以收定支。</w:t>
      </w:r>
    </w:p>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F12EC9" w:rsidRDefault="00F12EC9">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机关运行经费共计安排</w:t>
      </w:r>
      <w:r>
        <w:rPr>
          <w:rFonts w:ascii="仿宋" w:eastAsia="仿宋" w:hAnsi="仿宋"/>
          <w:sz w:val="32"/>
          <w:szCs w:val="32"/>
        </w:rPr>
        <w:t>46.75</w:t>
      </w:r>
      <w:r>
        <w:rPr>
          <w:rFonts w:ascii="仿宋" w:eastAsia="仿宋" w:hAnsi="仿宋" w:hint="eastAsia"/>
          <w:sz w:val="32"/>
          <w:szCs w:val="32"/>
        </w:rPr>
        <w:t>万元，主要用于霸州市民政局办公区的日常维修、办公用房水电费、办公用房取暖费、办公用房物业管理费等日常运行支出。</w:t>
      </w:r>
    </w:p>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四、财政拨款“三公”经费预算情况及增减变化原因</w:t>
      </w:r>
    </w:p>
    <w:p w:rsidR="00F12EC9" w:rsidRDefault="00F12EC9">
      <w:pPr>
        <w:spacing w:line="580" w:lineRule="atLeast"/>
        <w:ind w:firstLineChars="200" w:firstLine="64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年，我部门“三公”经费预算安排</w:t>
      </w:r>
      <w:r>
        <w:rPr>
          <w:rFonts w:ascii="仿宋" w:eastAsia="仿宋" w:hAnsi="仿宋"/>
          <w:sz w:val="32"/>
          <w:szCs w:val="32"/>
        </w:rPr>
        <w:t>3.18</w:t>
      </w:r>
      <w:r>
        <w:rPr>
          <w:rFonts w:ascii="仿宋" w:eastAsia="仿宋" w:hAnsi="仿宋" w:hint="eastAsia"/>
          <w:sz w:val="32"/>
          <w:szCs w:val="32"/>
        </w:rPr>
        <w:t>万元，其中因公出国（境）费</w:t>
      </w:r>
      <w:r>
        <w:rPr>
          <w:rFonts w:ascii="仿宋" w:eastAsia="仿宋" w:hAnsi="仿宋"/>
          <w:sz w:val="32"/>
          <w:szCs w:val="32"/>
        </w:rPr>
        <w:t>0</w:t>
      </w:r>
      <w:r>
        <w:rPr>
          <w:rFonts w:ascii="仿宋" w:eastAsia="仿宋" w:hAnsi="仿宋" w:hint="eastAsia"/>
          <w:sz w:val="32"/>
          <w:szCs w:val="32"/>
        </w:rPr>
        <w:t>万元；公务用车购置及运维费</w:t>
      </w:r>
      <w:r>
        <w:rPr>
          <w:rFonts w:ascii="仿宋" w:eastAsia="仿宋" w:hAnsi="仿宋"/>
          <w:sz w:val="32"/>
          <w:szCs w:val="32"/>
        </w:rPr>
        <w:t>2.57</w:t>
      </w:r>
      <w:r>
        <w:rPr>
          <w:rFonts w:ascii="仿宋" w:eastAsia="仿宋" w:hAnsi="仿宋" w:hint="eastAsia"/>
          <w:sz w:val="32"/>
          <w:szCs w:val="32"/>
        </w:rPr>
        <w:t>万元（其中：公务用车购置费为</w:t>
      </w:r>
      <w:r>
        <w:rPr>
          <w:rFonts w:ascii="仿宋" w:eastAsia="仿宋" w:hAnsi="仿宋"/>
          <w:sz w:val="32"/>
          <w:szCs w:val="32"/>
        </w:rPr>
        <w:t>0</w:t>
      </w:r>
      <w:r>
        <w:rPr>
          <w:rFonts w:ascii="仿宋" w:eastAsia="仿宋" w:hAnsi="仿宋" w:hint="eastAsia"/>
          <w:sz w:val="32"/>
          <w:szCs w:val="32"/>
        </w:rPr>
        <w:t>，公务用车运行费</w:t>
      </w:r>
      <w:r>
        <w:rPr>
          <w:rFonts w:ascii="仿宋" w:eastAsia="仿宋" w:hAnsi="仿宋"/>
          <w:sz w:val="32"/>
          <w:szCs w:val="32"/>
        </w:rPr>
        <w:t>2.57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；公务接待费</w:t>
      </w:r>
      <w:r>
        <w:rPr>
          <w:rFonts w:ascii="仿宋" w:eastAsia="仿宋" w:hAnsi="仿宋"/>
          <w:sz w:val="32"/>
          <w:szCs w:val="32"/>
        </w:rPr>
        <w:t>0.62</w:t>
      </w:r>
      <w:r>
        <w:rPr>
          <w:rFonts w:ascii="仿宋" w:eastAsia="仿宋" w:hAnsi="仿宋" w:hint="eastAsia"/>
          <w:sz w:val="32"/>
          <w:szCs w:val="32"/>
        </w:rPr>
        <w:t>万元。与</w:t>
      </w:r>
      <w:r>
        <w:rPr>
          <w:rFonts w:ascii="仿宋" w:eastAsia="仿宋" w:hAnsi="仿宋"/>
          <w:sz w:val="32"/>
          <w:szCs w:val="32"/>
        </w:rPr>
        <w:t>2016</w:t>
      </w:r>
      <w:r>
        <w:rPr>
          <w:rFonts w:ascii="仿宋" w:eastAsia="仿宋" w:hAnsi="仿宋" w:hint="eastAsia"/>
          <w:sz w:val="32"/>
          <w:szCs w:val="32"/>
        </w:rPr>
        <w:t>年增减情况如下：①公务用车购置安排</w:t>
      </w:r>
      <w:r>
        <w:rPr>
          <w:rFonts w:ascii="仿宋" w:eastAsia="仿宋" w:hAnsi="仿宋"/>
          <w:sz w:val="32"/>
          <w:szCs w:val="32"/>
        </w:rPr>
        <w:t>0</w:t>
      </w:r>
      <w:r>
        <w:rPr>
          <w:rFonts w:ascii="仿宋" w:eastAsia="仿宋" w:hAnsi="仿宋" w:hint="eastAsia"/>
          <w:sz w:val="32"/>
          <w:szCs w:val="32"/>
        </w:rPr>
        <w:t>万元，与上年预算持平，无增减变化。②公车运行维护经费安排</w:t>
      </w:r>
      <w:r>
        <w:rPr>
          <w:rFonts w:ascii="仿宋" w:eastAsia="仿宋" w:hAnsi="仿宋"/>
          <w:sz w:val="32"/>
          <w:szCs w:val="32"/>
        </w:rPr>
        <w:t>2.57</w:t>
      </w:r>
      <w:r>
        <w:rPr>
          <w:rFonts w:ascii="仿宋" w:eastAsia="仿宋" w:hAnsi="仿宋" w:hint="eastAsia"/>
          <w:sz w:val="32"/>
          <w:szCs w:val="32"/>
        </w:rPr>
        <w:t>万元，较上年预算减少</w:t>
      </w:r>
      <w:r>
        <w:rPr>
          <w:rFonts w:ascii="仿宋" w:eastAsia="仿宋" w:hAnsi="仿宋"/>
          <w:sz w:val="32"/>
          <w:szCs w:val="32"/>
        </w:rPr>
        <w:t>4.93</w:t>
      </w:r>
      <w:r>
        <w:rPr>
          <w:rFonts w:ascii="仿宋" w:eastAsia="仿宋" w:hAnsi="仿宋" w:hint="eastAsia"/>
          <w:sz w:val="32"/>
          <w:szCs w:val="32"/>
        </w:rPr>
        <w:t>万元。减少原因为公车改革后，我部门厉行节约，严控公车运维支出。</w:t>
      </w:r>
      <w:r>
        <w:rPr>
          <w:rFonts w:ascii="仿宋" w:eastAsia="仿宋" w:hAnsi="仿宋" w:cs="宋体" w:hint="eastAsia"/>
          <w:sz w:val="32"/>
          <w:szCs w:val="32"/>
        </w:rPr>
        <w:t>③</w:t>
      </w:r>
      <w:r>
        <w:rPr>
          <w:rFonts w:ascii="仿宋" w:eastAsia="仿宋" w:hAnsi="仿宋" w:hint="eastAsia"/>
          <w:sz w:val="32"/>
          <w:szCs w:val="32"/>
        </w:rPr>
        <w:t>公务接待费安排</w:t>
      </w:r>
      <w:r>
        <w:rPr>
          <w:rFonts w:ascii="仿宋" w:eastAsia="仿宋" w:hAnsi="仿宋"/>
          <w:sz w:val="32"/>
          <w:szCs w:val="32"/>
        </w:rPr>
        <w:t>0.62</w:t>
      </w:r>
      <w:r>
        <w:rPr>
          <w:rFonts w:ascii="仿宋" w:eastAsia="仿宋" w:hAnsi="仿宋" w:hint="eastAsia"/>
          <w:sz w:val="32"/>
          <w:szCs w:val="32"/>
        </w:rPr>
        <w:t>万元，较上年预算增加</w:t>
      </w:r>
      <w:r>
        <w:rPr>
          <w:rFonts w:ascii="仿宋" w:eastAsia="仿宋" w:hAnsi="仿宋"/>
          <w:sz w:val="32"/>
          <w:szCs w:val="32"/>
        </w:rPr>
        <w:t>0.11</w:t>
      </w:r>
      <w:r>
        <w:rPr>
          <w:rFonts w:ascii="仿宋" w:eastAsia="仿宋" w:hAnsi="仿宋" w:hint="eastAsia"/>
          <w:sz w:val="32"/>
          <w:szCs w:val="32"/>
        </w:rPr>
        <w:t>万元。增加原因为计提基数增加。</w:t>
      </w:r>
      <w:r>
        <w:rPr>
          <w:rFonts w:ascii="仿宋" w:eastAsia="仿宋" w:hAnsi="仿宋" w:cs="宋体" w:hint="eastAsia"/>
          <w:sz w:val="32"/>
          <w:szCs w:val="32"/>
        </w:rPr>
        <w:t>④</w:t>
      </w:r>
      <w:r>
        <w:rPr>
          <w:rFonts w:ascii="仿宋" w:eastAsia="仿宋" w:hAnsi="仿宋" w:hint="eastAsia"/>
          <w:sz w:val="32"/>
          <w:szCs w:val="32"/>
        </w:rPr>
        <w:t>因公出国（境）费安排</w:t>
      </w:r>
      <w:r>
        <w:rPr>
          <w:rFonts w:ascii="仿宋" w:eastAsia="仿宋" w:hAnsi="仿宋"/>
          <w:sz w:val="32"/>
          <w:szCs w:val="32"/>
        </w:rPr>
        <w:t>0</w:t>
      </w:r>
      <w:r>
        <w:rPr>
          <w:rFonts w:ascii="仿宋" w:eastAsia="仿宋" w:hAnsi="仿宋" w:hint="eastAsia"/>
          <w:sz w:val="32"/>
          <w:szCs w:val="32"/>
        </w:rPr>
        <w:t>万元，与上年预算持平，无增减变化。</w:t>
      </w:r>
    </w:p>
    <w:p w:rsidR="00F12EC9" w:rsidRDefault="00F12EC9">
      <w:pPr>
        <w:ind w:firstLineChars="200" w:firstLine="640"/>
        <w:rPr>
          <w:rFonts w:ascii="黑体" w:eastAsia="黑体" w:hAnsi="黑体"/>
          <w:sz w:val="32"/>
          <w:szCs w:val="32"/>
        </w:rPr>
      </w:pPr>
      <w:r>
        <w:rPr>
          <w:rFonts w:ascii="黑体" w:eastAsia="黑体" w:hAnsi="黑体" w:hint="eastAsia"/>
          <w:sz w:val="32"/>
          <w:szCs w:val="32"/>
        </w:rPr>
        <w:t>五、绩效预算信息</w:t>
      </w:r>
    </w:p>
    <w:p w:rsidR="00F12EC9" w:rsidRDefault="00F12EC9">
      <w:pPr>
        <w:ind w:firstLineChars="200" w:firstLine="643"/>
        <w:rPr>
          <w:rFonts w:ascii="楷体" w:eastAsia="楷体" w:hAnsi="楷体"/>
          <w:b/>
          <w:sz w:val="32"/>
          <w:szCs w:val="32"/>
        </w:rPr>
      </w:pPr>
      <w:r>
        <w:rPr>
          <w:rFonts w:ascii="楷体" w:eastAsia="楷体" w:hAnsi="楷体" w:hint="eastAsia"/>
          <w:b/>
          <w:sz w:val="32"/>
          <w:szCs w:val="32"/>
        </w:rPr>
        <w:t>总体绩效目标：</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、规范申报程序，加大核查力度，进一步巩固低保工作成果</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从健全机制和规范管理等方面入手，将本着“应保尽保、分类施保、动态管理”的原则，将城乡低保清理核查、规范化建设工作作为重点工作来抓，进一步巩固“阳光低保”工作成果，提高城乡低保对象的保障水平。一是严格落实三级公示，让城乡低保工作更加透明。建立在政府信息公开平台长久公示制度，随时接受广大人民群众的监督和举报，坚决杜绝骗保、人情保、关系保等问题的发生。通过抓好公开公示，增加低保工作透明度，接受群众和社会各界的监督，达到公开、公平、公正的目的。二是全面推行阳光听证，让城乡低保工作更加完善。指导乡镇村街成立城乡低保清理核查民主评议小组，由村干部、党员代表、群众代表组成，在确定低保对象时，通过采取公开听证的方式，让群众代表、党员代表对申请对象的自述家庭收入情况与村干部调查核定的家庭收入情况进行评议，从而为低保对象的准确认定提供更加可靠的家庭收入依据。三是加大核查力度，让城乡低保工作达到应保尽保、应退尽退。全面开展城乡低保的核查清理工作，对已享受低保人员的户籍、车辆、房屋、退休、工商登记等信息逐一进行比对，对不符合条件的低保对象及时注销；对符合条件的困难户及时纳入保障范围，做到“应保尽保”、“应退尽退”。</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、加大医疗救助工作力度，规范程序，简化手续，全面推开一站式服务工作</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本着“救急、救难、公平、简便”的原则，逐步建立与完善面向不同层次困难群众、各种制度相互衔接配套的城乡医疗救助体系，进一步提高城乡困难群众的医疗救助水平。一是继续巩固“一站式”服务成果，全面推行“一站式”服务。在试点医院的基础上，今年要在具备条件的市、乡医院全面推开“一站式”服务。充分发挥好“一站式”结算软件的作用，实现医疗救助与医疗保险制度的人员信息、就医信息和医疗费用信息的无缝衔接，达到医疗救助与医疗保险“一站式”同步结算，有效解决困难群众“看病难、报销难”等突出问题。二是以“医前救助”为重点，积极探索推行医前救助和医中大病救助的新模式，对患有重大疾病，无力支付医疗费用的困难家庭，实施医前、医中救助，解决他们的实际困难。建立医疗救助、临时救助、定向救助多渠道立体救助机制，进一步提升城乡医疗救助水平。三是推行“域外医疗救助资金直补”制度。对域外就医的低保户，通过核实入院治疗信息，对他们进行直接救助，资金实行银行发放，从而弥补“一站式”服务救助范围的缺陷，对困难群众住院救助实行了全覆盖，使救助手续更加简单、便捷，解决救助对象的燃眉之急。</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、全力抓好五保供养工作，积极探索政府购买服务新模式</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贯彻落实《农村五保供养工作条例》，采取多种措施，提高五保供养水平。一是按照“人性化、精细化、全位化”的管理模式，指导各敬老院从加强管理服务入手，通过健全规章制度，加强思想教育，开展专业培训，逐步推进敬老院规范化建设。市属两所敬老院要以文化入院为抓手，全面推进和谐敬老院建设。要因地制宜，在抓特色上做文章，采取多种形式积极开展饮食、娱乐、健康等文化建设活动，进一步丰富服务内容，提升生活品位，真正把敬老院办成五保老人的生活乐园、幸福家园。二是积极探索面向具有专业资质的社会组织和企业、机构等社会力量购买公共服务的养老新模式，在条件成熟的敬老院先行推广政府购买服务新形式。</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、规范审批，加强监管，进一步提升社会组织管理服务水平</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在社会组织管理中，不断深化行政审批制度改革，逐步规范服务内容，创新服务方式和工作机制，切实转变“重审批”、“轻管理”的现象。提高行政服务水平和效能。一是抓机制创新，推动社会组织登记管理体制改革。对行业协会商会类、科技类、公益慈善类、城乡社区服务类四类社会组织实行直接登记制度。二是抓日常监管，进一步规范社会组织登记管理工作。按照《社会团体登记管理条例》、《民办非企业单位登记管理暂行条例》相关规定，对社会组织开展经营活动情况、财务管理情况、收费情况、规章制度建立落实情况、党组织建设情况等几个方面加强管理，定期组织人员深入社会团体和民办非企业进行检查和抽查，及时发现问题，规范其行为，提高社会组织的影响力和公信度，促进其依法规范健康发展。</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、以抓政策落实为重点，全面提升优抚安置工作水平</w:t>
      </w:r>
      <w:r>
        <w:rPr>
          <w:rFonts w:ascii="仿宋" w:eastAsia="仿宋" w:hAnsi="仿宋"/>
          <w:sz w:val="32"/>
          <w:szCs w:val="32"/>
        </w:rPr>
        <w:t xml:space="preserve">   </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一是积极开展为优抚对象办实事活动，落实走访制度，对重点优抚对象逐一进行走访，详细了解他们在生活中的所想、所需、所盼，从而提高为优抚对象办实事的针对性；巩固和完善优抚对象抚恤优待标准自然增长机制。二是全面推广优抚对象“一站式”即时结算服务医疗保障工作，切实提高优抚对象医疗保障水平；三是认真做好退役士兵的培训和安置工作。积极开展“订单式”培训，努力提高退役士兵的就业率。</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、以养老服务站建设为抓手，全面加强社区服务站建设</w:t>
      </w:r>
    </w:p>
    <w:p w:rsidR="00F12EC9" w:rsidRDefault="00F12E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 w:eastAsia="仿宋" w:hAnsi="仿宋" w:hint="eastAsia"/>
          <w:sz w:val="32"/>
          <w:szCs w:val="32"/>
        </w:rPr>
        <w:t>一是加强社区居家养老服务站建设。重点是抓好社区养老服务中心和日间照料中心建设，为老年人提供生活照料、医疗康复、文体健身、紧急救助等各项服务，增强社区吸附力。着力打造集休息、娱乐、理疗、餐饮为一体，设施齐全、和谐温馨的示范性日间照料中心。在全力抓好北燕家务养老服务站的同时，选择</w:t>
      </w:r>
      <w:r>
        <w:rPr>
          <w:rFonts w:ascii="仿宋" w:eastAsia="仿宋" w:hAnsi="仿宋"/>
          <w:sz w:val="32"/>
          <w:szCs w:val="32"/>
        </w:rPr>
        <w:t>1—2</w:t>
      </w:r>
      <w:r>
        <w:rPr>
          <w:rFonts w:ascii="仿宋" w:eastAsia="仿宋" w:hAnsi="仿宋" w:hint="eastAsia"/>
          <w:sz w:val="32"/>
          <w:szCs w:val="32"/>
        </w:rPr>
        <w:t>处具备条件的社区集中打造高标准的社区养老服务站。二是拓宽服务内容，为社区老人提供更优质、便捷的服务。三是以社区老年人日间照料服务中心为依托，推进社区养老与社区卫生服务资源的整合，规划建设</w:t>
      </w:r>
      <w:r>
        <w:rPr>
          <w:rFonts w:ascii="仿宋" w:eastAsia="仿宋" w:hAnsi="仿宋"/>
          <w:sz w:val="32"/>
          <w:szCs w:val="32"/>
        </w:rPr>
        <w:t>1</w:t>
      </w:r>
      <w:r>
        <w:rPr>
          <w:rFonts w:ascii="仿宋" w:eastAsia="仿宋" w:hAnsi="仿宋" w:hint="eastAsia"/>
          <w:sz w:val="32"/>
          <w:szCs w:val="32"/>
        </w:rPr>
        <w:t>个社区医养结合型日间照料服务中心。</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为全面完成各项民政重点工作，我们将从强化保障措施入手，全力推动重点民政工作实现创新和突破，提升民政服务水平。</w:t>
      </w:r>
    </w:p>
    <w:p w:rsidR="00F12EC9" w:rsidRDefault="00F12EC9">
      <w:pPr>
        <w:ind w:firstLineChars="200" w:firstLine="643"/>
        <w:jc w:val="left"/>
        <w:rPr>
          <w:rFonts w:ascii="仿宋" w:eastAsia="仿宋" w:hAnsi="仿宋"/>
          <w:b/>
          <w:sz w:val="32"/>
          <w:szCs w:val="32"/>
        </w:rPr>
      </w:pPr>
      <w:bookmarkStart w:id="0" w:name="_Toc471398463"/>
    </w:p>
    <w:p w:rsidR="00F12EC9" w:rsidRDefault="00F12EC9">
      <w:pPr>
        <w:ind w:firstLineChars="200" w:firstLine="643"/>
        <w:jc w:val="left"/>
        <w:rPr>
          <w:rFonts w:ascii="楷体" w:eastAsia="楷体" w:hAnsi="楷体"/>
          <w:b/>
          <w:sz w:val="32"/>
          <w:szCs w:val="32"/>
        </w:rPr>
      </w:pPr>
      <w:r>
        <w:rPr>
          <w:rFonts w:ascii="楷体" w:eastAsia="楷体" w:hAnsi="楷体" w:hint="eastAsia"/>
          <w:b/>
          <w:sz w:val="32"/>
          <w:szCs w:val="32"/>
        </w:rPr>
        <w:t>部门职责及工作活动绩效目标指标：</w:t>
      </w:r>
    </w:p>
    <w:p w:rsidR="00F12EC9" w:rsidRDefault="00F12EC9">
      <w:pPr>
        <w:ind w:firstLineChars="200" w:firstLine="640"/>
        <w:jc w:val="center"/>
        <w:outlineLvl w:val="0"/>
        <w:rPr>
          <w:rFonts w:ascii="方正小标宋_GBK" w:eastAsia="方正小标宋_GBK" w:hAnsi="Times New Roman"/>
          <w:sz w:val="32"/>
          <w:szCs w:val="24"/>
        </w:rPr>
      </w:pPr>
    </w:p>
    <w:p w:rsidR="00F12EC9" w:rsidRDefault="00F12EC9">
      <w:pPr>
        <w:ind w:firstLineChars="200" w:firstLine="640"/>
        <w:jc w:val="center"/>
        <w:outlineLvl w:val="0"/>
        <w:rPr>
          <w:rFonts w:ascii="方正小标宋_GBK" w:eastAsia="方正小标宋_GBK"/>
          <w:sz w:val="32"/>
        </w:rPr>
      </w:pPr>
      <w:bookmarkStart w:id="1" w:name="_Toc476913169"/>
      <w:bookmarkEnd w:id="0"/>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F12EC9">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F12EC9" w:rsidRDefault="00F12EC9">
            <w:pPr>
              <w:spacing w:line="300" w:lineRule="exact"/>
              <w:ind w:firstLineChars="200" w:firstLine="480"/>
              <w:jc w:val="left"/>
              <w:rPr>
                <w:rFonts w:ascii="方正小标宋_GBK" w:eastAsia="方正小标宋_GBK"/>
                <w:sz w:val="24"/>
              </w:rPr>
            </w:pPr>
            <w:r>
              <w:rPr>
                <w:rFonts w:ascii="方正小标宋_GBK" w:eastAsia="方正小标宋_GBK"/>
                <w:sz w:val="24"/>
              </w:rPr>
              <w:t>802</w:t>
            </w:r>
            <w:r>
              <w:rPr>
                <w:rFonts w:ascii="方正小标宋_GBK" w:eastAsia="方正小标宋_GBK" w:hint="eastAsia"/>
                <w:sz w:val="24"/>
              </w:rPr>
              <w:t>霸州市民政局</w:t>
            </w:r>
          </w:p>
        </w:tc>
        <w:tc>
          <w:tcPr>
            <w:tcW w:w="2948" w:type="dxa"/>
            <w:gridSpan w:val="4"/>
            <w:tcBorders>
              <w:top w:val="single" w:sz="6" w:space="0" w:color="FFFFFF"/>
              <w:left w:val="single" w:sz="6" w:space="0" w:color="FFFFFF"/>
              <w:right w:val="single" w:sz="6" w:space="0" w:color="FFFFFF"/>
            </w:tcBorders>
            <w:vAlign w:val="center"/>
          </w:tcPr>
          <w:p w:rsidR="00F12EC9" w:rsidRDefault="00F12EC9">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F12EC9">
        <w:trPr>
          <w:trHeight w:val="227"/>
          <w:tblHeader/>
          <w:jc w:val="center"/>
        </w:trPr>
        <w:tc>
          <w:tcPr>
            <w:tcW w:w="2341"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评价标准</w:t>
            </w:r>
          </w:p>
        </w:tc>
      </w:tr>
      <w:tr w:rsidR="00F12EC9">
        <w:trPr>
          <w:trHeight w:val="227"/>
          <w:tblHeader/>
          <w:jc w:val="center"/>
        </w:trPr>
        <w:tc>
          <w:tcPr>
            <w:tcW w:w="2341" w:type="dxa"/>
            <w:vMerge/>
            <w:vAlign w:val="center"/>
          </w:tcPr>
          <w:p w:rsidR="00F12EC9" w:rsidRDefault="00F12EC9">
            <w:pPr>
              <w:spacing w:line="300" w:lineRule="exact"/>
              <w:ind w:firstLineChars="200" w:firstLine="420"/>
              <w:jc w:val="left"/>
              <w:outlineLvl w:val="0"/>
            </w:pPr>
          </w:p>
        </w:tc>
        <w:tc>
          <w:tcPr>
            <w:tcW w:w="1276" w:type="dxa"/>
            <w:vMerge/>
            <w:vAlign w:val="center"/>
          </w:tcPr>
          <w:p w:rsidR="00F12EC9" w:rsidRDefault="00F12EC9">
            <w:pPr>
              <w:spacing w:line="300" w:lineRule="exact"/>
              <w:ind w:firstLineChars="200" w:firstLine="420"/>
              <w:jc w:val="left"/>
              <w:outlineLvl w:val="0"/>
            </w:pPr>
          </w:p>
        </w:tc>
        <w:tc>
          <w:tcPr>
            <w:tcW w:w="2976" w:type="dxa"/>
            <w:vMerge/>
            <w:vAlign w:val="center"/>
          </w:tcPr>
          <w:p w:rsidR="00F12EC9" w:rsidRDefault="00F12EC9">
            <w:pPr>
              <w:spacing w:line="300" w:lineRule="exact"/>
              <w:ind w:firstLineChars="200" w:firstLine="420"/>
              <w:jc w:val="left"/>
              <w:outlineLvl w:val="0"/>
            </w:pPr>
          </w:p>
        </w:tc>
        <w:tc>
          <w:tcPr>
            <w:tcW w:w="2976" w:type="dxa"/>
            <w:vMerge/>
            <w:vAlign w:val="center"/>
          </w:tcPr>
          <w:p w:rsidR="00F12EC9" w:rsidRDefault="00F12EC9">
            <w:pPr>
              <w:spacing w:line="300" w:lineRule="exact"/>
              <w:ind w:firstLineChars="200" w:firstLine="420"/>
              <w:jc w:val="left"/>
              <w:outlineLvl w:val="0"/>
            </w:pPr>
          </w:p>
        </w:tc>
        <w:tc>
          <w:tcPr>
            <w:tcW w:w="1417" w:type="dxa"/>
            <w:vMerge/>
            <w:vAlign w:val="center"/>
          </w:tcPr>
          <w:p w:rsidR="00F12EC9" w:rsidRDefault="00F12EC9">
            <w:pPr>
              <w:spacing w:line="300" w:lineRule="exact"/>
              <w:ind w:firstLineChars="200" w:firstLine="420"/>
              <w:jc w:val="left"/>
              <w:outlineLvl w:val="0"/>
            </w:pPr>
          </w:p>
        </w:tc>
        <w:tc>
          <w:tcPr>
            <w:tcW w:w="73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优</w:t>
            </w:r>
          </w:p>
        </w:tc>
        <w:tc>
          <w:tcPr>
            <w:tcW w:w="73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良</w:t>
            </w:r>
          </w:p>
        </w:tc>
        <w:tc>
          <w:tcPr>
            <w:tcW w:w="73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中</w:t>
            </w:r>
          </w:p>
        </w:tc>
        <w:tc>
          <w:tcPr>
            <w:tcW w:w="73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差</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社会救助、救灾管理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2716.31</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完善城乡社会救助制度，实施分类救助，应保尽保</w:t>
            </w:r>
            <w:r>
              <w:rPr>
                <w:rFonts w:ascii="方正书宋_GBK" w:eastAsia="方正书宋_GBK"/>
              </w:rPr>
              <w:t>,</w:t>
            </w:r>
            <w:r>
              <w:rPr>
                <w:rFonts w:ascii="方正书宋_GBK" w:eastAsia="方正书宋_GBK" w:hint="eastAsia"/>
              </w:rPr>
              <w:t>动态管理。完善全县自然灾害救助应急体系。实施分类救助，保障受灾群众基本生活。</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困难群众基本生活保障</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2135.31</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申请低保人员核实率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流浪救助设施完好率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儿童福利机构建设按时建成率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患病孤残儿童救助治愈率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申请低保人员核实率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申请低保人员核实率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35%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流浪应救人员的救助率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低保家庭核查认定</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五保供养保障率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城乡居民低保保障率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临时生活救助</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&lt;50%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低收入家庭取暖补助</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孤儿基本生活保障率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&lt;95%</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医疗救助</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551.00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负责城乡居民、优抚对象医疗救助、重特大疾病救助工作。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保障困难群众获得医疗救助，降低困难居民医疗负担。优抚对象的医疗困难得到有效解决。</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优抚对象医疗补助到位率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&lt;98%</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参保资助率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报销比例</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&lt;50%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自然灾害救助</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30.00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统计、汇总、核查、会商灾情，统一发布灾情；组织协调紧急转移安置灾民；承办救灾款物分配和监管，物资调运，组织民房恢复重建及灾民生活救助。</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突发灾害报灾时效性和准确性</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物资保障受灾群众人数覆盖率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县级救灾物资运达灾区时间</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救灾捐赠资金到位率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冬春灾民基本生活救助资金发放率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农村住房保险理赔率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救灾捐赠资金到位率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自然灾害救助应急预案演练次数</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&lt;1</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县级救灾物资运达灾区时间</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24</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&gt;24</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突发灾害报灾时效性和准确性</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12</w:t>
            </w:r>
            <w:r>
              <w:rPr>
                <w:rFonts w:ascii="方正书宋_GBK" w:eastAsia="方正书宋_GBK" w:hint="eastAsia"/>
              </w:rPr>
              <w:t>小时内，准确度</w:t>
            </w:r>
            <w:r>
              <w:rPr>
                <w:rFonts w:ascii="方正书宋_GBK" w:eastAsia="方正书宋_GBK"/>
              </w:rPr>
              <w:t>98%</w:t>
            </w:r>
            <w:r>
              <w:rPr>
                <w:rFonts w:ascii="方正书宋_GBK" w:eastAsia="方正书宋_GBK" w:hint="eastAsia"/>
              </w:rPr>
              <w:t>及以上</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95%</w:t>
            </w:r>
            <w:r>
              <w:rPr>
                <w:rFonts w:ascii="方正书宋_GBK" w:eastAsia="方正书宋_GBK" w:hint="eastAsia"/>
              </w:rPr>
              <w:t>及以上</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90%</w:t>
            </w:r>
            <w:r>
              <w:rPr>
                <w:rFonts w:ascii="方正书宋_GBK" w:eastAsia="方正书宋_GBK" w:hint="eastAsia"/>
              </w:rPr>
              <w:t>及以上</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超出</w:t>
            </w:r>
            <w:r>
              <w:rPr>
                <w:rFonts w:ascii="方正书宋_GBK" w:eastAsia="方正书宋_GBK"/>
              </w:rPr>
              <w:t>24</w:t>
            </w:r>
            <w:r>
              <w:rPr>
                <w:rFonts w:ascii="方正书宋_GBK" w:eastAsia="方正书宋_GBK" w:hint="eastAsia"/>
              </w:rPr>
              <w:t>小时，准确度低于</w:t>
            </w:r>
            <w:r>
              <w:rPr>
                <w:rFonts w:ascii="方正书宋_GBK" w:eastAsia="方正书宋_GBK"/>
              </w:rPr>
              <w:t>90%</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社会福利政策及管理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1173.74</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对残疾人、孤儿、流浪乞讨人员、未成年人等特殊群体权益保护，发展慈善事业，推进殡葬改革，发行福利彩票，促进老龄事业发展。</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养老服务体系建设</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447.06</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落实国家和县老龄事业发展规划，加快养老服务设施建设，落实全县养老机构设立和管理工作；加快养老服务业发展，推进老年人福利健康快速发展。建立全县贫困失能老人护理补贴制度，实施爱心护理工程。</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全面建成以居家为基础、社区为依托、机构为支撑，功能完善、规模适度、覆盖城乡的养老服务体系，实现我县老人老有所养，老有所依，老有所乐，老有所为的目标。</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50%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50%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30%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20%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40%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城乡居家养老服务中心建设奖补率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农村互助幸福院建设奖补率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入住养老机构的老年人满意度</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非常满意</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满意</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一般</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不满意</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养老机构一次性建设和运营奖补率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福利和慈善事业</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726.68</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推进全县慈善事业发展；负责全县福利企业认定初审、上报工作；指导全县开展精神病福利机构建设。</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切实保障福利企业残疾职工基本权益，为残障人提供优质矫形器。</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假肢假矫形器生产装配企业资格认定合格率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&lt;98%</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老年福利（养老服务体系建设）</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殡葬服务</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推进殡葬设施更新改造；推进殡葬设备环保更新；推进惠民殡葬政策实施；推行生态安葬形式；规范殡仪服务管理；推进丧事简办；推行火化和丧俗改革；统一规范火化证和骨灰安放证。</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殡葬设施设备年更新改造率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&lt;20%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火化率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惠民殡葬政策覆盖特殊困难群体百分比</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&lt;95%</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殡葬设备环保更新率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&lt;20%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火化证及骨灰安放证统一规范率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双拥优抚安置管理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3261.00</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指导全县拥军优属活动。组织对优抚对象的优待、抚恤的政策落实，负责全县转业士官、退役士兵及军队离退休干部、退休士官和军队无军籍退休退职职工接收工作。</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优待抚恤</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2751.00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优抚对象对优抚工作的满意度</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非常满意</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满意</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一般</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不满意</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优抚对象抚恤和生活补助足额兑现率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&lt;98%</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残疾军人假肢等器具配备率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99%</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复员退伍军人及军休安置</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470.00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阳光安置，保障退役士兵合法权益；加强职业教育和技能培训；按时足额发放各类经济补助。全面落实军队离退休干部、退休士官和军队无军籍退休退职职工的政治和生活待遇。</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县级军休干部医疗补助落实率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1-4</w:t>
            </w:r>
            <w:r>
              <w:rPr>
                <w:rFonts w:ascii="方正书宋_GBK" w:eastAsia="方正书宋_GBK" w:hint="eastAsia"/>
              </w:rPr>
              <w:t>级伤病残购建房补助率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军休干部家属遗属医疗生活补助到位率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教育培训补助率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军队无军籍退休职工地方性津补贴到位率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城镇退役士兵自谋职业补助率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自主就业退役士兵补助率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优抚事业单位能力建设</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10.00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加快全省优抚医院、光荣院建设和维修改造，提高服务保障水平，确保优抚对象基本生活和医疗；承担国家级、省级烈士纪念设施的审核报批工作，负责烈士纪念设施的保护和管理；负责全省军供站的建设与管理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优抚医院、光荣院、军供站达到国家建设标准；在院休病</w:t>
            </w:r>
            <w:r>
              <w:rPr>
                <w:rFonts w:ascii="方正书宋_GBK" w:eastAsia="方正书宋_GBK"/>
              </w:rPr>
              <w:t>(</w:t>
            </w:r>
            <w:r>
              <w:rPr>
                <w:rFonts w:ascii="方正书宋_GBK" w:eastAsia="方正书宋_GBK" w:hint="eastAsia"/>
              </w:rPr>
              <w:t>养）员医疗和生活补助标准不低于全国平均水平；确保为过往军队人员提供生活保障；烈士纪念设施爱国主义教育功能日益完善，烈士褒扬系统信息完整。</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优抚院、光荣院、军供站建设标准</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达到标准</w:t>
            </w: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未达到标准</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烈士陵园基础设施及配套设施完好率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&lt;70%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军供站设施设备完好率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&lt;85%</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拥军优属慰问及双拥活动</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30.00</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组织开展全县拥军优属慰问工作、积极开展双拥活动。慰问全县驻军和重点优抚对象</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开展双拥系列活动，宣传双拥成果，积极营造全县双拥工作氛围。慰问驻军和部分重点优抚对象</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双拥系列活动开展次数</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&lt;2</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双拥活动参与群体满意度</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社会管理与服务</w:t>
            </w:r>
          </w:p>
        </w:tc>
        <w:tc>
          <w:tcPr>
            <w:tcW w:w="1276" w:type="dxa"/>
            <w:vAlign w:val="center"/>
          </w:tcPr>
          <w:p w:rsidR="00F12EC9" w:rsidRDefault="00F12EC9">
            <w:pPr>
              <w:spacing w:line="300" w:lineRule="exact"/>
              <w:ind w:firstLineChars="200" w:firstLine="420"/>
              <w:jc w:val="left"/>
              <w:rPr>
                <w:rFonts w:ascii="方正书宋_GBK" w:eastAsia="方正书宋_GBK"/>
              </w:rPr>
            </w:pP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承担对社会组织的登记管理；负责执行落实有关行政区划和地名管理政策；负责全县婚姻登记、涉外儿童收养登记和管理工作；组织指导基层政权和社区建设；推进社会工作人员队伍建设</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推进全县社会组织健康发展，优化行政区划空间布局，提高登记质量，规范婚姻登记、收养登记业务，建立健全城乡基层群众自治组织，逐步实现社会工作者专业化、职业化。</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社会组织管理</w:t>
            </w:r>
          </w:p>
        </w:tc>
        <w:tc>
          <w:tcPr>
            <w:tcW w:w="1276" w:type="dxa"/>
            <w:vAlign w:val="center"/>
          </w:tcPr>
          <w:p w:rsidR="00F12EC9" w:rsidRDefault="00F12EC9">
            <w:pPr>
              <w:spacing w:line="300" w:lineRule="exact"/>
              <w:ind w:firstLineChars="200" w:firstLine="420"/>
              <w:jc w:val="left"/>
              <w:rPr>
                <w:rFonts w:ascii="方正书宋_GBK" w:eastAsia="方正书宋_GBK"/>
              </w:rPr>
            </w:pP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依法对社会组织进行登记管理和监察。</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推进全县社会组织健康发展，提高社会组织的社会公信力，增强社会组织服务社会的能力。</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社会组织登记、年检完成率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社会事务管理</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优化空间布局，为城镇化建设助航；促进边界地区的平安和和谐发展；为社会提供方便快捷的地名公共服务。提高登记质量，规范婚姻登记、收养登记业务。</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婚姻、收养登记合格率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&lt;98%</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第二次全国地名普查数据准确率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基层政权和社区建设</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建立健全城乡基层群众自治组织，在村（居）民委员会实行</w:t>
            </w:r>
            <w:r>
              <w:rPr>
                <w:rFonts w:ascii="方正书宋_GBK" w:eastAsia="方正书宋_GBK"/>
              </w:rPr>
              <w:t>“</w:t>
            </w:r>
            <w:r>
              <w:rPr>
                <w:rFonts w:ascii="方正书宋_GBK" w:eastAsia="方正书宋_GBK" w:hint="eastAsia"/>
              </w:rPr>
              <w:t>四个民主</w:t>
            </w:r>
            <w:r>
              <w:rPr>
                <w:rFonts w:ascii="方正书宋_GBK" w:eastAsia="方正书宋_GBK"/>
              </w:rPr>
              <w:t>”</w:t>
            </w:r>
            <w:r>
              <w:rPr>
                <w:rFonts w:ascii="方正书宋_GBK" w:eastAsia="方正书宋_GBK" w:hint="eastAsia"/>
              </w:rPr>
              <w:t>；按照</w:t>
            </w:r>
            <w:r>
              <w:rPr>
                <w:rFonts w:ascii="方正书宋_GBK" w:eastAsia="方正书宋_GBK"/>
              </w:rPr>
              <w:t>“</w:t>
            </w:r>
            <w:r>
              <w:rPr>
                <w:rFonts w:ascii="方正书宋_GBK" w:eastAsia="方正书宋_GBK" w:hint="eastAsia"/>
              </w:rPr>
              <w:t>四有一创</w:t>
            </w:r>
            <w:r>
              <w:rPr>
                <w:rFonts w:ascii="方正书宋_GBK" w:eastAsia="方正书宋_GBK"/>
              </w:rPr>
              <w:t>”</w:t>
            </w:r>
            <w:r>
              <w:rPr>
                <w:rFonts w:ascii="方正书宋_GBK" w:eastAsia="方正书宋_GBK" w:hint="eastAsia"/>
              </w:rPr>
              <w:t>标准开展城市社区建设，按照农村社区建设实验全覆盖创建标准开展农村社区建设。</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农村社区建设试点单位试点情况</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高于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持平</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低于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明显低于</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村民委员会换届选举率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高于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持平</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低于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明显低于</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社会工作人才队伍建设</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推进全省社会工作人才队伍建设和相关志愿者队伍建设。</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以人才培养为基础，以人才使用为根本，以建立健全人才评价和激励机制为保障，逐步实现社会工作专业化、职业化。</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社会工作专业人才培养计划完成率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高于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持平</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低于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明显低于</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社会工作专业人才登记率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高于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持平</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低于</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明显低于</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民政政务管理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122.58</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建立和维护县民政系统政务公开平台，推进民政政府信息公开、政务公开，完成在县委、县政府系统信息考核任务；搞好群众来信来访工作，杜绝群体上访事件；民主行风评议保持全县领先地位。</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117.58</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组织开展全县民政行政执法监督检查工作；负责行政许可、行政处罚听证工作；组织民政政务公开和新闻宣传。</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建立和维护县民政系统政务公开平台，推进民政政府信息公开、政务公开；搞好群众来信来访工作，杜绝群体上访事件。促进贫困地区的社会经济发展</w:t>
            </w:r>
            <w:r>
              <w:rPr>
                <w:rFonts w:ascii="方正书宋_GBK" w:eastAsia="方正书宋_GBK"/>
              </w:rPr>
              <w:t>,</w:t>
            </w:r>
            <w:r>
              <w:rPr>
                <w:rFonts w:ascii="方正书宋_GBK" w:eastAsia="方正书宋_GBK" w:hint="eastAsia"/>
              </w:rPr>
              <w:t>人民生活水平得到提高。</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综合事务管理</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高效使用财政性扶贫开发资金，引导、放大金融资金，顺利推行项目建设、运行。</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落实财政扶贫资金项目管理办法，加强财政扶贫资金项目管理，组织实施年产业化扶贫项目。加强金融扶贫和彩票公益金项目管理。加强扶贫资金项目监管。</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&lt;90%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&lt;40%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100%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&lt;40%</w:t>
            </w:r>
          </w:p>
        </w:tc>
      </w:tr>
      <w:tr w:rsidR="00F12EC9">
        <w:trPr>
          <w:trHeight w:val="227"/>
          <w:jc w:val="center"/>
        </w:trPr>
        <w:tc>
          <w:tcPr>
            <w:tcW w:w="2341" w:type="dxa"/>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福彩发行费管理</w:t>
            </w:r>
          </w:p>
        </w:tc>
        <w:tc>
          <w:tcPr>
            <w:tcW w:w="12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rPr>
              <w:t>210.00</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彩票销售管理，综合事务管理和福彩公益品牌形象建设，广告宣传，会议培训，彩票资金使用及解缴。其中销售管理下设，设备维修维护，技术系统建设运营。</w:t>
            </w:r>
          </w:p>
        </w:tc>
        <w:tc>
          <w:tcPr>
            <w:tcW w:w="2976"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保障彩票发行费的使用效益，确保彩票市场健康稳定发展。</w:t>
            </w:r>
          </w:p>
        </w:tc>
        <w:tc>
          <w:tcPr>
            <w:tcW w:w="1417" w:type="dxa"/>
            <w:vAlign w:val="center"/>
          </w:tcPr>
          <w:p w:rsidR="00F12EC9" w:rsidRDefault="00F12EC9">
            <w:pPr>
              <w:spacing w:line="300" w:lineRule="exact"/>
              <w:ind w:firstLineChars="200" w:firstLine="420"/>
              <w:jc w:val="left"/>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c>
          <w:tcPr>
            <w:tcW w:w="737" w:type="dxa"/>
            <w:vAlign w:val="center"/>
          </w:tcPr>
          <w:p w:rsidR="00F12EC9" w:rsidRDefault="00F12EC9">
            <w:pPr>
              <w:spacing w:line="300" w:lineRule="exact"/>
              <w:ind w:firstLineChars="200" w:firstLine="420"/>
              <w:jc w:val="center"/>
              <w:rPr>
                <w:rFonts w:ascii="方正书宋_GBK" w:eastAsia="方正书宋_GBK"/>
              </w:rPr>
            </w:pPr>
          </w:p>
        </w:tc>
      </w:tr>
      <w:tr w:rsidR="00F12EC9">
        <w:trPr>
          <w:trHeight w:val="227"/>
          <w:jc w:val="center"/>
        </w:trPr>
        <w:tc>
          <w:tcPr>
            <w:tcW w:w="2341" w:type="dxa"/>
            <w:vMerge w:val="restart"/>
            <w:vAlign w:val="center"/>
          </w:tcPr>
          <w:p w:rsidR="00F12EC9" w:rsidRDefault="00F12EC9" w:rsidP="00387DAF">
            <w:pPr>
              <w:spacing w:line="300" w:lineRule="exact"/>
              <w:ind w:firstLineChars="200" w:firstLine="422"/>
              <w:jc w:val="left"/>
              <w:rPr>
                <w:rFonts w:ascii="方正书宋_GBK" w:eastAsia="方正书宋_GBK"/>
                <w:b/>
              </w:rPr>
            </w:pPr>
            <w:r>
              <w:rPr>
                <w:rFonts w:ascii="方正书宋_GBK" w:eastAsia="方正书宋_GBK" w:hint="eastAsia"/>
                <w:b/>
              </w:rPr>
              <w:t xml:space="preserve">　　福彩公益金</w:t>
            </w:r>
          </w:p>
        </w:tc>
        <w:tc>
          <w:tcPr>
            <w:tcW w:w="1276" w:type="dxa"/>
            <w:vMerge w:val="restart"/>
            <w:vAlign w:val="center"/>
          </w:tcPr>
          <w:p w:rsidR="00F12EC9" w:rsidRDefault="00F12EC9">
            <w:pPr>
              <w:spacing w:line="300" w:lineRule="exact"/>
              <w:ind w:firstLineChars="200" w:firstLine="420"/>
              <w:jc w:val="left"/>
              <w:rPr>
                <w:rFonts w:ascii="方正书宋_GBK" w:eastAsia="方正书宋_GBK"/>
              </w:rPr>
            </w:pP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完成省福彩中心下达的彩票销售任务</w:t>
            </w:r>
          </w:p>
        </w:tc>
        <w:tc>
          <w:tcPr>
            <w:tcW w:w="2976" w:type="dxa"/>
            <w:vMerge w:val="restart"/>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监管全市彩票市场运行情况，彩票发行费的管理工作</w:t>
            </w: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彩票发型费的收入计划</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r w:rsidR="00F12EC9">
        <w:trPr>
          <w:trHeight w:val="227"/>
          <w:jc w:val="center"/>
        </w:trPr>
        <w:tc>
          <w:tcPr>
            <w:tcW w:w="2341" w:type="dxa"/>
            <w:vMerge/>
            <w:vAlign w:val="center"/>
          </w:tcPr>
          <w:p w:rsidR="00F12EC9" w:rsidRDefault="00F12EC9" w:rsidP="00387DAF">
            <w:pPr>
              <w:spacing w:line="300" w:lineRule="exact"/>
              <w:ind w:firstLineChars="200" w:firstLine="422"/>
              <w:jc w:val="left"/>
              <w:rPr>
                <w:rFonts w:ascii="方正书宋_GBK" w:eastAsia="方正书宋_GBK"/>
                <w:b/>
              </w:rPr>
            </w:pPr>
          </w:p>
        </w:tc>
        <w:tc>
          <w:tcPr>
            <w:tcW w:w="12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2976" w:type="dxa"/>
            <w:vMerge/>
            <w:vAlign w:val="center"/>
          </w:tcPr>
          <w:p w:rsidR="00F12EC9" w:rsidRDefault="00F12EC9">
            <w:pPr>
              <w:spacing w:line="300" w:lineRule="exact"/>
              <w:ind w:firstLineChars="200" w:firstLine="420"/>
              <w:jc w:val="left"/>
              <w:rPr>
                <w:rFonts w:ascii="方正书宋_GBK" w:eastAsia="方正书宋_GBK"/>
              </w:rPr>
            </w:pPr>
          </w:p>
        </w:tc>
        <w:tc>
          <w:tcPr>
            <w:tcW w:w="141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彩票发型费的收入计划</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90%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F12EC9" w:rsidRDefault="00F12EC9">
            <w:pPr>
              <w:spacing w:line="300" w:lineRule="exact"/>
              <w:ind w:firstLineChars="200" w:firstLine="420"/>
              <w:jc w:val="center"/>
              <w:rPr>
                <w:rFonts w:ascii="方正书宋_GBK" w:eastAsia="方正书宋_GBK"/>
              </w:rPr>
            </w:pPr>
            <w:r>
              <w:rPr>
                <w:rFonts w:ascii="方正书宋_GBK" w:eastAsia="方正书宋_GBK"/>
              </w:rPr>
              <w:t>&lt;60%</w:t>
            </w:r>
          </w:p>
        </w:tc>
      </w:tr>
    </w:tbl>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六、政府采购预算情况</w:t>
      </w:r>
    </w:p>
    <w:p w:rsidR="00F12EC9" w:rsidRDefault="00F12EC9">
      <w:pPr>
        <w:ind w:firstLineChars="200" w:firstLine="640"/>
        <w:outlineLvl w:val="0"/>
        <w:rPr>
          <w:rFonts w:ascii="Times New Roman" w:eastAsia="方正仿宋_GBK" w:hAnsi="Times New Roman"/>
          <w:sz w:val="32"/>
          <w:szCs w:val="24"/>
        </w:rPr>
      </w:pPr>
      <w:bookmarkStart w:id="2" w:name="_Toc471398468"/>
      <w:r>
        <w:rPr>
          <w:rFonts w:ascii="仿宋" w:eastAsia="仿宋" w:hAnsi="仿宋"/>
          <w:sz w:val="32"/>
          <w:szCs w:val="24"/>
        </w:rPr>
        <w:t>2017</w:t>
      </w:r>
      <w:r>
        <w:rPr>
          <w:rFonts w:ascii="仿宋" w:eastAsia="仿宋" w:hAnsi="仿宋" w:hint="eastAsia"/>
          <w:sz w:val="32"/>
          <w:szCs w:val="24"/>
        </w:rPr>
        <w:t>年，我部门安排政府采购预算</w:t>
      </w:r>
      <w:r>
        <w:rPr>
          <w:rFonts w:ascii="仿宋" w:eastAsia="仿宋" w:hAnsi="仿宋"/>
          <w:sz w:val="32"/>
          <w:szCs w:val="24"/>
        </w:rPr>
        <w:t>0.45</w:t>
      </w:r>
      <w:r>
        <w:rPr>
          <w:rFonts w:ascii="仿宋" w:eastAsia="仿宋" w:hAnsi="仿宋" w:hint="eastAsia"/>
          <w:sz w:val="32"/>
          <w:szCs w:val="24"/>
        </w:rPr>
        <w:t>万元。具体内容见下表。</w:t>
      </w:r>
    </w:p>
    <w:p w:rsidR="00F12EC9" w:rsidRDefault="00F12EC9">
      <w:pPr>
        <w:ind w:firstLineChars="200" w:firstLine="640"/>
        <w:jc w:val="center"/>
        <w:outlineLvl w:val="0"/>
        <w:rPr>
          <w:rFonts w:ascii="方正小标宋_GBK" w:eastAsia="方正小标宋_GBK"/>
          <w:sz w:val="32"/>
        </w:rPr>
      </w:pPr>
      <w:bookmarkStart w:id="3" w:name="_Toc476913174"/>
      <w:bookmarkEnd w:id="2"/>
      <w:r>
        <w:rPr>
          <w:rFonts w:ascii="方正小标宋_GBK" w:eastAsia="方正小标宋_GBK" w:hint="eastAsia"/>
          <w:sz w:val="32"/>
        </w:rPr>
        <w:t>部门政府采购预算</w:t>
      </w:r>
      <w:bookmarkEnd w:id="3"/>
    </w:p>
    <w:tbl>
      <w:tblPr>
        <w:tblW w:w="14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97"/>
        <w:gridCol w:w="1069"/>
        <w:gridCol w:w="883"/>
        <w:gridCol w:w="1349"/>
        <w:gridCol w:w="883"/>
        <w:gridCol w:w="883"/>
        <w:gridCol w:w="904"/>
        <w:gridCol w:w="883"/>
        <w:gridCol w:w="883"/>
        <w:gridCol w:w="883"/>
        <w:gridCol w:w="883"/>
        <w:gridCol w:w="883"/>
        <w:gridCol w:w="883"/>
        <w:gridCol w:w="831"/>
      </w:tblGrid>
      <w:tr w:rsidR="00F12EC9">
        <w:trPr>
          <w:tblHeader/>
          <w:jc w:val="center"/>
        </w:trPr>
        <w:tc>
          <w:tcPr>
            <w:tcW w:w="8368" w:type="dxa"/>
            <w:gridSpan w:val="7"/>
            <w:tcBorders>
              <w:top w:val="single" w:sz="6" w:space="0" w:color="FFFFFF"/>
              <w:left w:val="single" w:sz="6" w:space="0" w:color="FFFFFF"/>
              <w:right w:val="single" w:sz="6" w:space="0" w:color="FFFFFF"/>
            </w:tcBorders>
            <w:vAlign w:val="center"/>
          </w:tcPr>
          <w:p w:rsidR="00F12EC9" w:rsidRDefault="00F12EC9">
            <w:pPr>
              <w:spacing w:line="300" w:lineRule="exact"/>
              <w:ind w:firstLineChars="200" w:firstLine="480"/>
              <w:jc w:val="left"/>
              <w:rPr>
                <w:rFonts w:ascii="方正小标宋_GBK" w:eastAsia="方正小标宋_GBK"/>
                <w:sz w:val="24"/>
              </w:rPr>
            </w:pPr>
            <w:r>
              <w:rPr>
                <w:rFonts w:ascii="方正小标宋_GBK" w:eastAsia="方正小标宋_GBK"/>
                <w:sz w:val="24"/>
              </w:rPr>
              <w:t>802</w:t>
            </w:r>
            <w:r>
              <w:rPr>
                <w:rFonts w:ascii="方正小标宋_GBK" w:eastAsia="方正小标宋_GBK" w:hint="eastAsia"/>
                <w:sz w:val="24"/>
              </w:rPr>
              <w:t>霸州市民政局</w:t>
            </w:r>
          </w:p>
        </w:tc>
        <w:tc>
          <w:tcPr>
            <w:tcW w:w="6129" w:type="dxa"/>
            <w:gridSpan w:val="7"/>
            <w:tcBorders>
              <w:top w:val="single" w:sz="6" w:space="0" w:color="FFFFFF"/>
              <w:left w:val="single" w:sz="6" w:space="0" w:color="FFFFFF"/>
              <w:right w:val="single" w:sz="6" w:space="0" w:color="FFFFFF"/>
            </w:tcBorders>
            <w:vAlign w:val="center"/>
          </w:tcPr>
          <w:p w:rsidR="00F12EC9" w:rsidRDefault="00F12EC9">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F12EC9">
        <w:trPr>
          <w:tblHeader/>
          <w:jc w:val="center"/>
        </w:trPr>
        <w:tc>
          <w:tcPr>
            <w:tcW w:w="3466" w:type="dxa"/>
            <w:gridSpan w:val="2"/>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政府采购项目来源</w:t>
            </w:r>
          </w:p>
        </w:tc>
        <w:tc>
          <w:tcPr>
            <w:tcW w:w="883"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采购物品名称</w:t>
            </w:r>
          </w:p>
        </w:tc>
        <w:tc>
          <w:tcPr>
            <w:tcW w:w="1349"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政府采购目录序号</w:t>
            </w:r>
          </w:p>
        </w:tc>
        <w:tc>
          <w:tcPr>
            <w:tcW w:w="883"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883"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数量</w:t>
            </w:r>
          </w:p>
        </w:tc>
        <w:tc>
          <w:tcPr>
            <w:tcW w:w="904"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单价</w:t>
            </w:r>
          </w:p>
        </w:tc>
        <w:tc>
          <w:tcPr>
            <w:tcW w:w="6129" w:type="dxa"/>
            <w:gridSpan w:val="7"/>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政府采购金额</w:t>
            </w:r>
          </w:p>
        </w:tc>
      </w:tr>
      <w:tr w:rsidR="00F12EC9">
        <w:trPr>
          <w:tblHeader/>
          <w:jc w:val="center"/>
        </w:trPr>
        <w:tc>
          <w:tcPr>
            <w:tcW w:w="2397" w:type="dxa"/>
            <w:vMerge w:val="restart"/>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项目名称</w:t>
            </w:r>
          </w:p>
        </w:tc>
        <w:tc>
          <w:tcPr>
            <w:tcW w:w="1069"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预算资金</w:t>
            </w:r>
          </w:p>
        </w:tc>
        <w:tc>
          <w:tcPr>
            <w:tcW w:w="883" w:type="dxa"/>
            <w:vMerge/>
            <w:vAlign w:val="center"/>
          </w:tcPr>
          <w:p w:rsidR="00F12EC9" w:rsidRDefault="00F12EC9">
            <w:pPr>
              <w:spacing w:line="300" w:lineRule="exact"/>
              <w:ind w:firstLineChars="200" w:firstLine="420"/>
              <w:jc w:val="left"/>
              <w:outlineLvl w:val="0"/>
            </w:pPr>
          </w:p>
        </w:tc>
        <w:tc>
          <w:tcPr>
            <w:tcW w:w="1349"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904" w:type="dxa"/>
            <w:vMerge/>
            <w:vAlign w:val="center"/>
          </w:tcPr>
          <w:p w:rsidR="00F12EC9" w:rsidRDefault="00F12EC9">
            <w:pPr>
              <w:spacing w:line="300" w:lineRule="exact"/>
              <w:ind w:firstLineChars="200" w:firstLine="420"/>
              <w:jc w:val="left"/>
              <w:outlineLvl w:val="0"/>
            </w:pPr>
          </w:p>
        </w:tc>
        <w:tc>
          <w:tcPr>
            <w:tcW w:w="883" w:type="dxa"/>
            <w:vMerge w:val="restart"/>
            <w:vAlign w:val="center"/>
          </w:tcPr>
          <w:p w:rsidR="00F12EC9" w:rsidRDefault="00F12EC9">
            <w:pPr>
              <w:spacing w:line="300" w:lineRule="exact"/>
              <w:rPr>
                <w:rFonts w:ascii="方正书宋_GBK" w:eastAsia="方正书宋_GBK"/>
                <w:b/>
              </w:rPr>
            </w:pPr>
            <w:r>
              <w:rPr>
                <w:rFonts w:ascii="方正书宋_GBK" w:eastAsia="方正书宋_GBK" w:hint="eastAsia"/>
                <w:b/>
              </w:rPr>
              <w:t>总计</w:t>
            </w:r>
          </w:p>
        </w:tc>
        <w:tc>
          <w:tcPr>
            <w:tcW w:w="4415" w:type="dxa"/>
            <w:gridSpan w:val="5"/>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当年部门预算安排资金</w:t>
            </w:r>
          </w:p>
        </w:tc>
        <w:tc>
          <w:tcPr>
            <w:tcW w:w="831" w:type="dxa"/>
            <w:vMerge w:val="restart"/>
            <w:vAlign w:val="center"/>
          </w:tcPr>
          <w:p w:rsidR="00F12EC9" w:rsidRDefault="00F12EC9">
            <w:pPr>
              <w:spacing w:line="300" w:lineRule="exact"/>
              <w:rPr>
                <w:rFonts w:ascii="方正书宋_GBK" w:eastAsia="方正书宋_GBK"/>
                <w:b/>
              </w:rPr>
            </w:pPr>
            <w:bookmarkStart w:id="4" w:name="_GoBack"/>
            <w:bookmarkEnd w:id="4"/>
            <w:r>
              <w:rPr>
                <w:rFonts w:ascii="方正书宋_GBK" w:eastAsia="方正书宋_GBK" w:hint="eastAsia"/>
                <w:b/>
              </w:rPr>
              <w:t>其他渠道资金</w:t>
            </w:r>
          </w:p>
        </w:tc>
      </w:tr>
      <w:tr w:rsidR="00F12EC9">
        <w:trPr>
          <w:tblHeader/>
          <w:jc w:val="center"/>
        </w:trPr>
        <w:tc>
          <w:tcPr>
            <w:tcW w:w="2397" w:type="dxa"/>
            <w:vMerge/>
            <w:vAlign w:val="center"/>
          </w:tcPr>
          <w:p w:rsidR="00F12EC9" w:rsidRDefault="00F12EC9">
            <w:pPr>
              <w:spacing w:line="300" w:lineRule="exact"/>
              <w:ind w:firstLineChars="200" w:firstLine="420"/>
              <w:jc w:val="left"/>
              <w:outlineLvl w:val="0"/>
            </w:pPr>
          </w:p>
        </w:tc>
        <w:tc>
          <w:tcPr>
            <w:tcW w:w="1069"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1349"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904" w:type="dxa"/>
            <w:vMerge/>
            <w:vAlign w:val="center"/>
          </w:tcPr>
          <w:p w:rsidR="00F12EC9" w:rsidRDefault="00F12EC9">
            <w:pPr>
              <w:spacing w:line="300" w:lineRule="exact"/>
              <w:ind w:firstLineChars="200" w:firstLine="420"/>
              <w:jc w:val="left"/>
              <w:outlineLvl w:val="0"/>
            </w:pPr>
          </w:p>
        </w:tc>
        <w:tc>
          <w:tcPr>
            <w:tcW w:w="883" w:type="dxa"/>
            <w:vMerge/>
            <w:vAlign w:val="center"/>
          </w:tcPr>
          <w:p w:rsidR="00F12EC9" w:rsidRDefault="00F12EC9">
            <w:pPr>
              <w:spacing w:line="300" w:lineRule="exact"/>
              <w:ind w:firstLineChars="200" w:firstLine="420"/>
              <w:jc w:val="left"/>
              <w:outlineLvl w:val="0"/>
            </w:pP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hint="eastAsia"/>
                <w:b/>
              </w:rPr>
              <w:t>合计</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hint="eastAsia"/>
                <w:b/>
              </w:rPr>
              <w:t>一般公共预算拨款</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hint="eastAsia"/>
                <w:b/>
              </w:rPr>
              <w:t>基金预算拨款</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hint="eastAsia"/>
                <w:b/>
              </w:rPr>
              <w:t>财政专户核拨</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hint="eastAsia"/>
                <w:b/>
              </w:rPr>
              <w:t>其他来源收入</w:t>
            </w:r>
          </w:p>
        </w:tc>
        <w:tc>
          <w:tcPr>
            <w:tcW w:w="831" w:type="dxa"/>
            <w:vMerge/>
            <w:vAlign w:val="center"/>
          </w:tcPr>
          <w:p w:rsidR="00F12EC9" w:rsidRDefault="00F12EC9">
            <w:pPr>
              <w:spacing w:line="300" w:lineRule="exact"/>
              <w:ind w:firstLineChars="200" w:firstLine="420"/>
              <w:jc w:val="left"/>
              <w:outlineLvl w:val="0"/>
            </w:pPr>
          </w:p>
        </w:tc>
      </w:tr>
      <w:tr w:rsidR="00F12EC9">
        <w:trPr>
          <w:jc w:val="center"/>
        </w:trPr>
        <w:tc>
          <w:tcPr>
            <w:tcW w:w="2397" w:type="dxa"/>
            <w:vAlign w:val="center"/>
          </w:tcPr>
          <w:p w:rsidR="00F12EC9" w:rsidRDefault="00F12EC9" w:rsidP="00387DAF">
            <w:pPr>
              <w:spacing w:line="300" w:lineRule="exact"/>
              <w:ind w:firstLineChars="200" w:firstLine="422"/>
              <w:jc w:val="center"/>
              <w:rPr>
                <w:rFonts w:ascii="方正书宋_GBK" w:eastAsia="方正书宋_GBK"/>
                <w:b/>
              </w:rPr>
            </w:pPr>
            <w:r>
              <w:rPr>
                <w:rFonts w:ascii="方正书宋_GBK" w:eastAsia="方正书宋_GBK" w:hint="eastAsia"/>
                <w:b/>
              </w:rPr>
              <w:t>霸州市民政局小计</w:t>
            </w:r>
          </w:p>
        </w:tc>
        <w:tc>
          <w:tcPr>
            <w:tcW w:w="1069" w:type="dxa"/>
            <w:vAlign w:val="center"/>
          </w:tcPr>
          <w:p w:rsidR="00F12EC9" w:rsidRDefault="00F12EC9" w:rsidP="00387DAF">
            <w:pPr>
              <w:spacing w:line="300" w:lineRule="exact"/>
              <w:ind w:firstLineChars="200" w:firstLine="422"/>
              <w:jc w:val="right"/>
              <w:rPr>
                <w:rFonts w:ascii="方正书宋_GBK" w:eastAsia="方正书宋_GBK"/>
                <w:b/>
              </w:rPr>
            </w:pPr>
          </w:p>
        </w:tc>
        <w:tc>
          <w:tcPr>
            <w:tcW w:w="883" w:type="dxa"/>
            <w:vAlign w:val="center"/>
          </w:tcPr>
          <w:p w:rsidR="00F12EC9" w:rsidRDefault="00F12EC9" w:rsidP="00387DAF">
            <w:pPr>
              <w:spacing w:line="300" w:lineRule="exact"/>
              <w:ind w:firstLineChars="200" w:firstLine="422"/>
              <w:jc w:val="left"/>
              <w:rPr>
                <w:rFonts w:ascii="方正书宋_GBK" w:eastAsia="方正书宋_GBK"/>
                <w:b/>
              </w:rPr>
            </w:pPr>
          </w:p>
        </w:tc>
        <w:tc>
          <w:tcPr>
            <w:tcW w:w="1349" w:type="dxa"/>
            <w:vAlign w:val="center"/>
          </w:tcPr>
          <w:p w:rsidR="00F12EC9" w:rsidRDefault="00F12EC9" w:rsidP="00387DAF">
            <w:pPr>
              <w:spacing w:line="300" w:lineRule="exact"/>
              <w:ind w:firstLineChars="200" w:firstLine="422"/>
              <w:jc w:val="left"/>
              <w:rPr>
                <w:rFonts w:ascii="方正书宋_GBK" w:eastAsia="方正书宋_GBK"/>
                <w:b/>
              </w:rPr>
            </w:pPr>
          </w:p>
        </w:tc>
        <w:tc>
          <w:tcPr>
            <w:tcW w:w="883" w:type="dxa"/>
            <w:vAlign w:val="center"/>
          </w:tcPr>
          <w:p w:rsidR="00F12EC9" w:rsidRDefault="00F12EC9" w:rsidP="00387DAF">
            <w:pPr>
              <w:spacing w:line="300" w:lineRule="exact"/>
              <w:ind w:firstLineChars="200" w:firstLine="422"/>
              <w:jc w:val="left"/>
              <w:rPr>
                <w:rFonts w:ascii="方正书宋_GBK" w:eastAsia="方正书宋_GBK"/>
                <w:b/>
              </w:rPr>
            </w:pPr>
          </w:p>
        </w:tc>
        <w:tc>
          <w:tcPr>
            <w:tcW w:w="883" w:type="dxa"/>
            <w:vAlign w:val="center"/>
          </w:tcPr>
          <w:p w:rsidR="00F12EC9" w:rsidRDefault="00F12EC9" w:rsidP="00387DAF">
            <w:pPr>
              <w:spacing w:line="300" w:lineRule="exact"/>
              <w:ind w:firstLineChars="200" w:firstLine="422"/>
              <w:jc w:val="right"/>
              <w:rPr>
                <w:rFonts w:ascii="方正书宋_GBK" w:eastAsia="方正书宋_GBK"/>
                <w:b/>
              </w:rPr>
            </w:pPr>
          </w:p>
        </w:tc>
        <w:tc>
          <w:tcPr>
            <w:tcW w:w="904" w:type="dxa"/>
            <w:vAlign w:val="center"/>
          </w:tcPr>
          <w:p w:rsidR="00F12EC9" w:rsidRDefault="00F12EC9" w:rsidP="00387DAF">
            <w:pPr>
              <w:spacing w:line="300" w:lineRule="exact"/>
              <w:ind w:firstLineChars="200" w:firstLine="422"/>
              <w:jc w:val="right"/>
              <w:rPr>
                <w:rFonts w:ascii="方正书宋_GBK" w:eastAsia="方正书宋_GBK"/>
                <w:b/>
              </w:rPr>
            </w:pP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b/>
              </w:rPr>
              <w:t>0.45</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b/>
              </w:rPr>
              <w:t>0.45</w:t>
            </w:r>
          </w:p>
        </w:tc>
        <w:tc>
          <w:tcPr>
            <w:tcW w:w="883" w:type="dxa"/>
            <w:vAlign w:val="center"/>
          </w:tcPr>
          <w:p w:rsidR="00F12EC9" w:rsidRDefault="00F12EC9">
            <w:pPr>
              <w:spacing w:line="300" w:lineRule="exact"/>
              <w:rPr>
                <w:rFonts w:ascii="方正书宋_GBK" w:eastAsia="方正书宋_GBK"/>
                <w:b/>
              </w:rPr>
            </w:pPr>
            <w:r>
              <w:rPr>
                <w:rFonts w:ascii="方正书宋_GBK" w:eastAsia="方正书宋_GBK"/>
                <w:b/>
              </w:rPr>
              <w:t>0.45</w:t>
            </w:r>
          </w:p>
        </w:tc>
        <w:tc>
          <w:tcPr>
            <w:tcW w:w="883" w:type="dxa"/>
            <w:vAlign w:val="center"/>
          </w:tcPr>
          <w:p w:rsidR="00F12EC9" w:rsidRDefault="00F12EC9" w:rsidP="00387DAF">
            <w:pPr>
              <w:spacing w:line="300" w:lineRule="exact"/>
              <w:ind w:firstLineChars="200" w:firstLine="422"/>
              <w:jc w:val="right"/>
              <w:rPr>
                <w:rFonts w:ascii="方正书宋_GBK" w:eastAsia="方正书宋_GBK"/>
                <w:b/>
              </w:rPr>
            </w:pPr>
          </w:p>
        </w:tc>
        <w:tc>
          <w:tcPr>
            <w:tcW w:w="883" w:type="dxa"/>
            <w:vAlign w:val="center"/>
          </w:tcPr>
          <w:p w:rsidR="00F12EC9" w:rsidRDefault="00F12EC9" w:rsidP="00387DAF">
            <w:pPr>
              <w:spacing w:line="300" w:lineRule="exact"/>
              <w:ind w:firstLineChars="200" w:firstLine="422"/>
              <w:jc w:val="right"/>
              <w:rPr>
                <w:rFonts w:ascii="方正书宋_GBK" w:eastAsia="方正书宋_GBK"/>
                <w:b/>
              </w:rPr>
            </w:pPr>
          </w:p>
        </w:tc>
        <w:tc>
          <w:tcPr>
            <w:tcW w:w="883" w:type="dxa"/>
            <w:vAlign w:val="center"/>
          </w:tcPr>
          <w:p w:rsidR="00F12EC9" w:rsidRDefault="00F12EC9" w:rsidP="00387DAF">
            <w:pPr>
              <w:spacing w:line="300" w:lineRule="exact"/>
              <w:ind w:firstLineChars="200" w:firstLine="422"/>
              <w:jc w:val="right"/>
              <w:rPr>
                <w:rFonts w:ascii="方正书宋_GBK" w:eastAsia="方正书宋_GBK"/>
                <w:b/>
              </w:rPr>
            </w:pPr>
          </w:p>
        </w:tc>
        <w:tc>
          <w:tcPr>
            <w:tcW w:w="831" w:type="dxa"/>
            <w:vAlign w:val="center"/>
          </w:tcPr>
          <w:p w:rsidR="00F12EC9" w:rsidRDefault="00F12EC9" w:rsidP="00387DAF">
            <w:pPr>
              <w:spacing w:line="300" w:lineRule="exact"/>
              <w:ind w:firstLineChars="200" w:firstLine="422"/>
              <w:jc w:val="right"/>
              <w:rPr>
                <w:rFonts w:ascii="方正书宋_GBK" w:eastAsia="方正书宋_GBK"/>
                <w:b/>
              </w:rPr>
            </w:pPr>
          </w:p>
        </w:tc>
      </w:tr>
      <w:tr w:rsidR="00F12EC9">
        <w:trPr>
          <w:jc w:val="center"/>
        </w:trPr>
        <w:tc>
          <w:tcPr>
            <w:tcW w:w="2397" w:type="dxa"/>
            <w:vAlign w:val="center"/>
          </w:tcPr>
          <w:p w:rsidR="00F12EC9" w:rsidRDefault="00F12EC9">
            <w:pPr>
              <w:spacing w:line="300" w:lineRule="exact"/>
              <w:ind w:firstLineChars="200" w:firstLine="420"/>
              <w:jc w:val="left"/>
              <w:rPr>
                <w:rFonts w:ascii="方正书宋_GBK" w:eastAsia="方正书宋_GBK"/>
              </w:rPr>
            </w:pPr>
            <w:r>
              <w:rPr>
                <w:rFonts w:ascii="方正书宋_GBK" w:eastAsia="方正书宋_GBK" w:hint="eastAsia"/>
              </w:rPr>
              <w:t>日常公用经费</w:t>
            </w:r>
          </w:p>
        </w:tc>
        <w:tc>
          <w:tcPr>
            <w:tcW w:w="1069" w:type="dxa"/>
            <w:vAlign w:val="center"/>
          </w:tcPr>
          <w:p w:rsidR="00F12EC9" w:rsidRDefault="00F12EC9">
            <w:pPr>
              <w:spacing w:line="300" w:lineRule="exact"/>
              <w:rPr>
                <w:rFonts w:ascii="方正书宋_GBK" w:eastAsia="方正书宋_GBK"/>
              </w:rPr>
            </w:pPr>
            <w:r>
              <w:rPr>
                <w:rFonts w:ascii="方正书宋_GBK" w:eastAsia="方正书宋_GBK"/>
              </w:rPr>
              <w:t>46.75</w:t>
            </w:r>
          </w:p>
        </w:tc>
        <w:tc>
          <w:tcPr>
            <w:tcW w:w="883" w:type="dxa"/>
            <w:vAlign w:val="center"/>
          </w:tcPr>
          <w:p w:rsidR="00F12EC9" w:rsidRDefault="00F12EC9">
            <w:pPr>
              <w:spacing w:line="300" w:lineRule="exact"/>
              <w:jc w:val="left"/>
              <w:rPr>
                <w:rFonts w:ascii="方正书宋_GBK" w:eastAsia="方正书宋_GBK"/>
              </w:rPr>
            </w:pPr>
            <w:r>
              <w:rPr>
                <w:rFonts w:ascii="方正书宋_GBK" w:eastAsia="方正书宋_GBK" w:hint="eastAsia"/>
              </w:rPr>
              <w:t>打印设备</w:t>
            </w:r>
          </w:p>
        </w:tc>
        <w:tc>
          <w:tcPr>
            <w:tcW w:w="1349" w:type="dxa"/>
            <w:vAlign w:val="center"/>
          </w:tcPr>
          <w:p w:rsidR="00F12EC9" w:rsidRDefault="00F12EC9">
            <w:pPr>
              <w:spacing w:line="300" w:lineRule="exact"/>
              <w:jc w:val="left"/>
              <w:rPr>
                <w:rFonts w:ascii="方正书宋_GBK" w:eastAsia="方正书宋_GBK"/>
              </w:rPr>
            </w:pPr>
            <w:r>
              <w:rPr>
                <w:rFonts w:ascii="方正书宋_GBK" w:eastAsia="方正书宋_GBK"/>
              </w:rPr>
              <w:t>A02010601</w:t>
            </w:r>
          </w:p>
        </w:tc>
        <w:tc>
          <w:tcPr>
            <w:tcW w:w="883" w:type="dxa"/>
            <w:vAlign w:val="center"/>
          </w:tcPr>
          <w:p w:rsidR="00F12EC9" w:rsidRDefault="00F12EC9">
            <w:pPr>
              <w:spacing w:line="300" w:lineRule="exact"/>
              <w:jc w:val="left"/>
              <w:rPr>
                <w:rFonts w:ascii="方正书宋_GBK" w:eastAsia="方正书宋_GBK"/>
              </w:rPr>
            </w:pPr>
            <w:r>
              <w:rPr>
                <w:rFonts w:ascii="方正书宋_GBK" w:eastAsia="方正书宋_GBK" w:hint="eastAsia"/>
              </w:rPr>
              <w:t>台大</w:t>
            </w:r>
          </w:p>
        </w:tc>
        <w:tc>
          <w:tcPr>
            <w:tcW w:w="883" w:type="dxa"/>
            <w:vAlign w:val="center"/>
          </w:tcPr>
          <w:p w:rsidR="00F12EC9" w:rsidRDefault="00F12EC9">
            <w:pPr>
              <w:spacing w:line="300" w:lineRule="exact"/>
              <w:rPr>
                <w:rFonts w:ascii="方正书宋_GBK" w:eastAsia="方正书宋_GBK"/>
              </w:rPr>
            </w:pPr>
            <w:r>
              <w:rPr>
                <w:rFonts w:ascii="方正书宋_GBK" w:eastAsia="方正书宋_GBK"/>
              </w:rPr>
              <w:t>3</w:t>
            </w:r>
          </w:p>
        </w:tc>
        <w:tc>
          <w:tcPr>
            <w:tcW w:w="904" w:type="dxa"/>
            <w:vAlign w:val="center"/>
          </w:tcPr>
          <w:p w:rsidR="00F12EC9" w:rsidRDefault="00F12EC9">
            <w:pPr>
              <w:spacing w:line="300" w:lineRule="exact"/>
              <w:rPr>
                <w:rFonts w:ascii="方正书宋_GBK" w:eastAsia="方正书宋_GBK"/>
              </w:rPr>
            </w:pPr>
            <w:r>
              <w:rPr>
                <w:rFonts w:ascii="方正书宋_GBK" w:eastAsia="方正书宋_GBK"/>
              </w:rPr>
              <w:t>0.15</w:t>
            </w:r>
          </w:p>
        </w:tc>
        <w:tc>
          <w:tcPr>
            <w:tcW w:w="883" w:type="dxa"/>
            <w:vAlign w:val="center"/>
          </w:tcPr>
          <w:p w:rsidR="00F12EC9" w:rsidRDefault="00F12EC9">
            <w:pPr>
              <w:spacing w:line="300" w:lineRule="exact"/>
              <w:rPr>
                <w:rFonts w:ascii="方正书宋_GBK" w:eastAsia="方正书宋_GBK"/>
              </w:rPr>
            </w:pPr>
            <w:r>
              <w:rPr>
                <w:rFonts w:ascii="方正书宋_GBK" w:eastAsia="方正书宋_GBK"/>
              </w:rPr>
              <w:t>0.45</w:t>
            </w:r>
          </w:p>
        </w:tc>
        <w:tc>
          <w:tcPr>
            <w:tcW w:w="883" w:type="dxa"/>
            <w:vAlign w:val="center"/>
          </w:tcPr>
          <w:p w:rsidR="00F12EC9" w:rsidRDefault="00F12EC9">
            <w:pPr>
              <w:spacing w:line="300" w:lineRule="exact"/>
              <w:rPr>
                <w:rFonts w:ascii="方正书宋_GBK" w:eastAsia="方正书宋_GBK"/>
              </w:rPr>
            </w:pPr>
            <w:r>
              <w:rPr>
                <w:rFonts w:ascii="方正书宋_GBK" w:eastAsia="方正书宋_GBK"/>
              </w:rPr>
              <w:t>0.45</w:t>
            </w:r>
          </w:p>
        </w:tc>
        <w:tc>
          <w:tcPr>
            <w:tcW w:w="883" w:type="dxa"/>
            <w:vAlign w:val="center"/>
          </w:tcPr>
          <w:p w:rsidR="00F12EC9" w:rsidRDefault="00F12EC9">
            <w:pPr>
              <w:spacing w:line="300" w:lineRule="exact"/>
              <w:rPr>
                <w:rFonts w:ascii="方正书宋_GBK" w:eastAsia="方正书宋_GBK"/>
              </w:rPr>
            </w:pPr>
            <w:r>
              <w:rPr>
                <w:rFonts w:ascii="方正书宋_GBK" w:eastAsia="方正书宋_GBK"/>
              </w:rPr>
              <w:t>0.45</w:t>
            </w:r>
          </w:p>
        </w:tc>
        <w:tc>
          <w:tcPr>
            <w:tcW w:w="883" w:type="dxa"/>
            <w:vAlign w:val="center"/>
          </w:tcPr>
          <w:p w:rsidR="00F12EC9" w:rsidRDefault="00F12EC9">
            <w:pPr>
              <w:spacing w:line="300" w:lineRule="exact"/>
              <w:ind w:firstLineChars="200" w:firstLine="420"/>
              <w:jc w:val="right"/>
              <w:rPr>
                <w:rFonts w:ascii="方正书宋_GBK" w:eastAsia="方正书宋_GBK"/>
              </w:rPr>
            </w:pPr>
          </w:p>
        </w:tc>
        <w:tc>
          <w:tcPr>
            <w:tcW w:w="883" w:type="dxa"/>
            <w:vAlign w:val="center"/>
          </w:tcPr>
          <w:p w:rsidR="00F12EC9" w:rsidRDefault="00F12EC9">
            <w:pPr>
              <w:spacing w:line="300" w:lineRule="exact"/>
              <w:ind w:firstLineChars="200" w:firstLine="420"/>
              <w:jc w:val="right"/>
              <w:rPr>
                <w:rFonts w:ascii="方正书宋_GBK" w:eastAsia="方正书宋_GBK"/>
              </w:rPr>
            </w:pPr>
          </w:p>
        </w:tc>
        <w:tc>
          <w:tcPr>
            <w:tcW w:w="883" w:type="dxa"/>
            <w:vAlign w:val="center"/>
          </w:tcPr>
          <w:p w:rsidR="00F12EC9" w:rsidRDefault="00F12EC9">
            <w:pPr>
              <w:spacing w:line="300" w:lineRule="exact"/>
              <w:ind w:firstLineChars="200" w:firstLine="420"/>
              <w:jc w:val="right"/>
              <w:rPr>
                <w:rFonts w:ascii="方正书宋_GBK" w:eastAsia="方正书宋_GBK"/>
              </w:rPr>
            </w:pPr>
          </w:p>
        </w:tc>
        <w:tc>
          <w:tcPr>
            <w:tcW w:w="831" w:type="dxa"/>
            <w:vAlign w:val="center"/>
          </w:tcPr>
          <w:p w:rsidR="00F12EC9" w:rsidRDefault="00F12EC9">
            <w:pPr>
              <w:spacing w:line="300" w:lineRule="exact"/>
              <w:ind w:firstLineChars="200" w:firstLine="420"/>
              <w:jc w:val="right"/>
              <w:rPr>
                <w:rFonts w:ascii="方正书宋_GBK" w:eastAsia="方正书宋_GBK"/>
              </w:rPr>
            </w:pPr>
          </w:p>
        </w:tc>
      </w:tr>
    </w:tbl>
    <w:p w:rsidR="00F12EC9" w:rsidRDefault="00F12EC9">
      <w:pPr>
        <w:autoSpaceDE w:val="0"/>
        <w:autoSpaceDN w:val="0"/>
        <w:adjustRightInd w:val="0"/>
        <w:ind w:firstLineChars="200" w:firstLine="640"/>
        <w:jc w:val="left"/>
        <w:rPr>
          <w:rFonts w:ascii="黑体" w:eastAsia="黑体" w:hAnsi="黑体"/>
          <w:sz w:val="32"/>
          <w:szCs w:val="32"/>
        </w:rPr>
      </w:pPr>
    </w:p>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七、国有资产信息</w:t>
      </w:r>
    </w:p>
    <w:p w:rsidR="00F12EC9" w:rsidRDefault="00F12EC9">
      <w:pPr>
        <w:ind w:firstLineChars="200" w:firstLine="640"/>
        <w:rPr>
          <w:rFonts w:ascii="仿宋" w:eastAsia="仿宋" w:hAnsi="仿宋"/>
          <w:sz w:val="32"/>
          <w:szCs w:val="32"/>
        </w:rPr>
      </w:pPr>
      <w:r>
        <w:rPr>
          <w:rFonts w:ascii="仿宋" w:eastAsia="仿宋" w:hAnsi="仿宋" w:hint="eastAsia"/>
          <w:sz w:val="32"/>
          <w:szCs w:val="32"/>
        </w:rPr>
        <w:t>霸州市民政局（含所属单位）上年末固定资产金额为</w:t>
      </w:r>
      <w:r>
        <w:rPr>
          <w:rFonts w:ascii="仿宋" w:eastAsia="仿宋" w:hAnsi="仿宋"/>
          <w:sz w:val="32"/>
          <w:szCs w:val="32"/>
        </w:rPr>
        <w:t>4419.95</w:t>
      </w:r>
      <w:r>
        <w:rPr>
          <w:rFonts w:ascii="仿宋" w:eastAsia="仿宋" w:hAnsi="仿宋" w:hint="eastAsia"/>
          <w:sz w:val="32"/>
          <w:szCs w:val="32"/>
        </w:rPr>
        <w:t>万元，本年度本单位（处室）拟购置固定资产主要为</w:t>
      </w:r>
      <w:r>
        <w:rPr>
          <w:rFonts w:ascii="仿宋" w:eastAsia="仿宋" w:hAnsi="仿宋"/>
          <w:sz w:val="32"/>
          <w:szCs w:val="32"/>
        </w:rPr>
        <w:t>3</w:t>
      </w:r>
      <w:r>
        <w:rPr>
          <w:rFonts w:ascii="仿宋" w:eastAsia="仿宋" w:hAnsi="仿宋" w:hint="eastAsia"/>
          <w:sz w:val="32"/>
          <w:szCs w:val="32"/>
        </w:rPr>
        <w:t>台打印设备，已列入政府采购预算。详见下表。</w:t>
      </w:r>
    </w:p>
    <w:tbl>
      <w:tblPr>
        <w:tblW w:w="13482" w:type="dxa"/>
        <w:tblInd w:w="93" w:type="dxa"/>
        <w:tblLayout w:type="fixed"/>
        <w:tblLook w:val="00A0"/>
      </w:tblPr>
      <w:tblGrid>
        <w:gridCol w:w="5224"/>
        <w:gridCol w:w="3155"/>
        <w:gridCol w:w="5103"/>
      </w:tblGrid>
      <w:tr w:rsidR="00F12EC9">
        <w:trPr>
          <w:trHeight w:val="705"/>
        </w:trPr>
        <w:tc>
          <w:tcPr>
            <w:tcW w:w="13482" w:type="dxa"/>
            <w:gridSpan w:val="3"/>
            <w:tcBorders>
              <w:top w:val="nil"/>
              <w:left w:val="nil"/>
              <w:bottom w:val="nil"/>
              <w:right w:val="nil"/>
            </w:tcBorders>
            <w:vAlign w:val="center"/>
          </w:tcPr>
          <w:p w:rsidR="00F12EC9" w:rsidRDefault="00F12EC9">
            <w:pPr>
              <w:widowControl/>
              <w:ind w:firstLineChars="200" w:firstLine="643"/>
              <w:jc w:val="center"/>
              <w:rPr>
                <w:rFonts w:ascii="宋体" w:cs="宋体"/>
                <w:b/>
                <w:bCs/>
                <w:kern w:val="0"/>
                <w:sz w:val="32"/>
                <w:szCs w:val="32"/>
              </w:rPr>
            </w:pPr>
            <w:r>
              <w:rPr>
                <w:rFonts w:ascii="宋体" w:hAnsi="宋体" w:cs="宋体" w:hint="eastAsia"/>
                <w:b/>
                <w:bCs/>
                <w:kern w:val="0"/>
                <w:sz w:val="32"/>
                <w:szCs w:val="32"/>
              </w:rPr>
              <w:t>霸州市民政局固定资产占用情况表</w:t>
            </w:r>
          </w:p>
        </w:tc>
      </w:tr>
      <w:tr w:rsidR="00F12EC9">
        <w:trPr>
          <w:trHeight w:val="510"/>
        </w:trPr>
        <w:tc>
          <w:tcPr>
            <w:tcW w:w="8379" w:type="dxa"/>
            <w:gridSpan w:val="2"/>
            <w:tcBorders>
              <w:top w:val="nil"/>
              <w:left w:val="nil"/>
              <w:bottom w:val="nil"/>
              <w:right w:val="nil"/>
            </w:tcBorders>
            <w:vAlign w:val="center"/>
          </w:tcPr>
          <w:p w:rsidR="00F12EC9" w:rsidRDefault="00F12EC9">
            <w:pPr>
              <w:widowControl/>
              <w:ind w:firstLineChars="200" w:firstLine="440"/>
              <w:jc w:val="left"/>
              <w:rPr>
                <w:rFonts w:ascii="宋体" w:cs="宋体"/>
                <w:kern w:val="0"/>
                <w:sz w:val="22"/>
              </w:rPr>
            </w:pPr>
            <w:r>
              <w:rPr>
                <w:rFonts w:ascii="宋体" w:hAnsi="宋体" w:cs="宋体" w:hint="eastAsia"/>
                <w:kern w:val="0"/>
                <w:sz w:val="22"/>
              </w:rPr>
              <w:t>编制部门：</w:t>
            </w:r>
            <w:r>
              <w:rPr>
                <w:rFonts w:ascii="宋体" w:hAnsi="宋体" w:cs="宋体"/>
                <w:kern w:val="0"/>
                <w:sz w:val="22"/>
              </w:rPr>
              <w:t>802</w:t>
            </w:r>
            <w:r>
              <w:rPr>
                <w:rFonts w:ascii="宋体" w:hAnsi="宋体" w:cs="宋体" w:hint="eastAsia"/>
                <w:kern w:val="0"/>
                <w:sz w:val="22"/>
              </w:rPr>
              <w:t>霸州市民政局</w:t>
            </w:r>
          </w:p>
        </w:tc>
        <w:tc>
          <w:tcPr>
            <w:tcW w:w="5103" w:type="dxa"/>
            <w:tcBorders>
              <w:top w:val="nil"/>
              <w:left w:val="nil"/>
              <w:bottom w:val="nil"/>
              <w:right w:val="nil"/>
            </w:tcBorders>
            <w:vAlign w:val="center"/>
          </w:tcPr>
          <w:p w:rsidR="00F12EC9" w:rsidRDefault="00F12EC9">
            <w:pPr>
              <w:widowControl/>
              <w:ind w:firstLineChars="200" w:firstLine="44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2016</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F12EC9">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F12EC9" w:rsidRDefault="00F12EC9">
            <w:pPr>
              <w:widowControl/>
              <w:ind w:firstLineChars="200" w:firstLine="442"/>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F12EC9" w:rsidRDefault="00F12EC9">
            <w:pPr>
              <w:widowControl/>
              <w:ind w:firstLineChars="200" w:firstLine="442"/>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F12EC9" w:rsidRDefault="00F12EC9">
            <w:pPr>
              <w:widowControl/>
              <w:ind w:firstLineChars="200" w:firstLine="442"/>
              <w:jc w:val="center"/>
              <w:rPr>
                <w:rFonts w:ascii="宋体" w:cs="宋体"/>
                <w:b/>
                <w:bCs/>
                <w:kern w:val="0"/>
                <w:sz w:val="22"/>
              </w:rPr>
            </w:pPr>
            <w:r>
              <w:rPr>
                <w:rFonts w:ascii="宋体" w:hAnsi="宋体" w:cs="宋体" w:hint="eastAsia"/>
                <w:b/>
                <w:bCs/>
                <w:kern w:val="0"/>
                <w:sz w:val="22"/>
              </w:rPr>
              <w:t>价值（金额单位：万元）</w:t>
            </w: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4419.95</w:t>
            </w: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21884</w:t>
            </w: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2142.57</w:t>
            </w: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12390</w:t>
            </w: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9</w:t>
            </w: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91.01</w:t>
            </w: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p>
        </w:tc>
      </w:tr>
      <w:tr w:rsidR="00F12EC9">
        <w:trPr>
          <w:trHeight w:val="645"/>
        </w:trPr>
        <w:tc>
          <w:tcPr>
            <w:tcW w:w="5224" w:type="dxa"/>
            <w:tcBorders>
              <w:top w:val="nil"/>
              <w:left w:val="single" w:sz="4" w:space="0" w:color="auto"/>
              <w:bottom w:val="single" w:sz="4" w:space="0" w:color="auto"/>
              <w:right w:val="single" w:sz="4" w:space="0" w:color="auto"/>
            </w:tcBorders>
            <w:vAlign w:val="center"/>
          </w:tcPr>
          <w:p w:rsidR="00F12EC9" w:rsidRDefault="00F12EC9">
            <w:pPr>
              <w:widowControl/>
              <w:ind w:firstLineChars="200" w:firstLine="440"/>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F12EC9" w:rsidRDefault="00F12EC9">
            <w:pPr>
              <w:widowControl/>
              <w:ind w:firstLineChars="200" w:firstLine="440"/>
              <w:jc w:val="center"/>
              <w:rPr>
                <w:rFonts w:ascii="宋体" w:cs="宋体"/>
                <w:kern w:val="0"/>
                <w:sz w:val="22"/>
              </w:rPr>
            </w:pPr>
            <w:r>
              <w:rPr>
                <w:rFonts w:ascii="宋体" w:cs="宋体"/>
                <w:kern w:val="0"/>
                <w:sz w:val="22"/>
              </w:rPr>
              <w:t>661.05</w:t>
            </w:r>
          </w:p>
        </w:tc>
      </w:tr>
    </w:tbl>
    <w:p w:rsidR="00F12EC9" w:rsidRDefault="00F12EC9">
      <w:pPr>
        <w:ind w:firstLineChars="200" w:firstLine="640"/>
        <w:rPr>
          <w:rFonts w:ascii="??_GB2312" w:eastAsia="Times New Roman" w:hAnsi="黑体"/>
          <w:color w:val="FF0000"/>
          <w:sz w:val="32"/>
          <w:szCs w:val="32"/>
        </w:rPr>
      </w:pPr>
    </w:p>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八、名词解释</w:t>
      </w:r>
    </w:p>
    <w:p w:rsidR="00F12EC9" w:rsidRPr="00207CAD" w:rsidRDefault="00F12EC9" w:rsidP="00387DAF">
      <w:pPr>
        <w:pStyle w:val="Default"/>
        <w:ind w:firstLineChars="196" w:firstLine="630"/>
        <w:rPr>
          <w:rFonts w:ascii="仿宋_GB2312" w:eastAsia="仿宋_GB2312"/>
          <w:b/>
          <w:bCs/>
          <w:sz w:val="32"/>
          <w:szCs w:val="32"/>
        </w:rPr>
      </w:pPr>
      <w:r w:rsidRPr="00207CAD">
        <w:rPr>
          <w:rFonts w:ascii="仿宋_GB2312" w:eastAsia="仿宋_GB2312"/>
          <w:b/>
          <w:bCs/>
          <w:sz w:val="32"/>
          <w:szCs w:val="32"/>
        </w:rPr>
        <w:t>1</w:t>
      </w:r>
      <w:r w:rsidRPr="00207CAD">
        <w:rPr>
          <w:rFonts w:ascii="仿宋_GB2312" w:eastAsia="仿宋_GB2312" w:hAnsi="FZFangSong-Z02" w:cs="FZFangSong-Z02" w:hint="eastAsia"/>
          <w:sz w:val="32"/>
          <w:szCs w:val="32"/>
        </w:rPr>
        <w:t>、一般公共预算拨款收入：指市级财政当年拨付的资金。</w:t>
      </w:r>
    </w:p>
    <w:p w:rsidR="00F12EC9" w:rsidRPr="00207CAD" w:rsidRDefault="00F12EC9" w:rsidP="00387DAF">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2</w:t>
      </w:r>
      <w:r w:rsidRPr="00207CAD">
        <w:rPr>
          <w:rFonts w:ascii="仿宋_GB2312" w:eastAsia="仿宋_GB2312" w:hAnsi="FZFangSong-Z02" w:cs="FZFangSong-Z02" w:hint="eastAsia"/>
          <w:sz w:val="32"/>
          <w:szCs w:val="32"/>
        </w:rPr>
        <w:t>、事业收入：指事业单位开展专业业务活动及辅助活动所取得的收入。</w:t>
      </w:r>
    </w:p>
    <w:p w:rsidR="00F12EC9" w:rsidRPr="00207CAD" w:rsidRDefault="00F12EC9" w:rsidP="00387DAF">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3</w:t>
      </w:r>
      <w:r w:rsidRPr="00207CAD">
        <w:rPr>
          <w:rFonts w:ascii="仿宋_GB2312" w:eastAsia="仿宋_GB2312" w:hAnsi="FZFangSong-Z02" w:cs="FZFangSong-Z02" w:hint="eastAsia"/>
          <w:sz w:val="32"/>
          <w:szCs w:val="32"/>
        </w:rPr>
        <w:t>、其他收入：指除上述</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财政拨款收入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事业收入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等以外的收入。主要是按规定动用的租房收入、存款利息收入等。</w:t>
      </w:r>
    </w:p>
    <w:p w:rsidR="00F12EC9" w:rsidRPr="00207CAD" w:rsidRDefault="00F12EC9" w:rsidP="00387DAF">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4</w:t>
      </w:r>
      <w:r w:rsidRPr="00207CAD">
        <w:rPr>
          <w:rFonts w:ascii="仿宋_GB2312" w:eastAsia="仿宋_GB2312" w:hAnsi="FZFangSong-Z02" w:cs="FZFangSong-Z02" w:hint="eastAsia"/>
          <w:sz w:val="32"/>
          <w:szCs w:val="32"/>
        </w:rPr>
        <w:t>、基本支出：</w:t>
      </w:r>
      <w:r w:rsidRPr="00207CAD">
        <w:rPr>
          <w:rFonts w:ascii="仿宋_GB2312" w:eastAsia="仿宋_GB2312" w:hint="eastAsia"/>
          <w:sz w:val="32"/>
          <w:szCs w:val="32"/>
        </w:rPr>
        <w:t>指为保障机构正常运转、完成日常工作任务而发生的人员支出和公用支出。</w:t>
      </w:r>
    </w:p>
    <w:p w:rsidR="00F12EC9" w:rsidRPr="00207CAD" w:rsidRDefault="00F12EC9" w:rsidP="00387DAF">
      <w:pPr>
        <w:rPr>
          <w:rFonts w:ascii="仿宋_GB2312" w:eastAsia="仿宋_GB2312"/>
          <w:sz w:val="32"/>
          <w:szCs w:val="32"/>
        </w:rPr>
      </w:pPr>
      <w:r w:rsidRPr="00207CAD">
        <w:rPr>
          <w:rFonts w:ascii="仿宋_GB2312" w:eastAsia="仿宋_GB2312"/>
          <w:b/>
          <w:bCs/>
          <w:sz w:val="32"/>
          <w:szCs w:val="32"/>
        </w:rPr>
        <w:t xml:space="preserve">    5</w:t>
      </w:r>
      <w:r w:rsidRPr="00207CAD">
        <w:rPr>
          <w:rFonts w:ascii="仿宋_GB2312" w:eastAsia="仿宋_GB2312" w:hAnsi="FZFangSong-Z02" w:cs="FZFangSong-Z02" w:hint="eastAsia"/>
          <w:sz w:val="32"/>
          <w:szCs w:val="32"/>
        </w:rPr>
        <w:t>、项目支出：</w:t>
      </w:r>
      <w:r w:rsidRPr="00207CAD">
        <w:rPr>
          <w:rFonts w:ascii="仿宋_GB2312" w:eastAsia="仿宋_GB2312" w:hint="eastAsia"/>
          <w:sz w:val="32"/>
          <w:szCs w:val="32"/>
        </w:rPr>
        <w:t>指在基本支出之外为完成特定行政任务和事业发展目标所发生的支出。</w:t>
      </w:r>
    </w:p>
    <w:p w:rsidR="00F12EC9" w:rsidRPr="00207CAD" w:rsidRDefault="00F12EC9" w:rsidP="00387DAF">
      <w:pPr>
        <w:pStyle w:val="Default"/>
        <w:rPr>
          <w:rFonts w:ascii="仿宋_GB2312" w:eastAsia="仿宋_GB2312"/>
          <w:sz w:val="32"/>
          <w:szCs w:val="32"/>
        </w:rPr>
      </w:pPr>
      <w:r w:rsidRPr="00207CAD">
        <w:rPr>
          <w:rFonts w:ascii="仿宋_GB2312" w:eastAsia="仿宋_GB2312"/>
          <w:b/>
          <w:bCs/>
          <w:sz w:val="32"/>
          <w:szCs w:val="32"/>
        </w:rPr>
        <w:t xml:space="preserve">    6</w:t>
      </w:r>
      <w:r w:rsidRPr="00207CAD">
        <w:rPr>
          <w:rFonts w:ascii="仿宋_GB2312" w:eastAsia="仿宋_GB2312" w:hAnsi="FZFangSong-Z02" w:cs="FZFangSong-Z02" w:hint="eastAsia"/>
          <w:sz w:val="32"/>
          <w:szCs w:val="32"/>
        </w:rPr>
        <w:t>、上缴上级支出：</w:t>
      </w:r>
      <w:r w:rsidRPr="00207CAD">
        <w:rPr>
          <w:rFonts w:ascii="仿宋_GB2312" w:eastAsia="仿宋_GB2312" w:hint="eastAsia"/>
          <w:sz w:val="32"/>
          <w:szCs w:val="32"/>
        </w:rPr>
        <w:t>指下级单位上缴上级的支出。</w:t>
      </w:r>
    </w:p>
    <w:p w:rsidR="00F12EC9" w:rsidRPr="00207CAD" w:rsidRDefault="00F12EC9" w:rsidP="00387DAF">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7</w:t>
      </w:r>
      <w:r w:rsidRPr="00207CAD">
        <w:rPr>
          <w:rFonts w:ascii="仿宋_GB2312" w:eastAsia="仿宋_GB2312" w:hAnsi="FZFangSong-Z02" w:cs="FZFangSong-Z02" w:hint="eastAsia"/>
          <w:sz w:val="32"/>
          <w:szCs w:val="32"/>
        </w:rPr>
        <w:t>、</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经费：纳入市级财政预算管理的</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12EC9" w:rsidRPr="00387DAF" w:rsidRDefault="00F12EC9" w:rsidP="00387DAF">
      <w:pPr>
        <w:rPr>
          <w:rFonts w:ascii="仿宋_GB2312" w:eastAsia="仿宋_GB2312" w:hAnsi="FZFangSong-Z02" w:cs="FZFangSong-Z02"/>
          <w:sz w:val="32"/>
          <w:szCs w:val="32"/>
        </w:rPr>
      </w:pPr>
      <w:r w:rsidRPr="00207CAD">
        <w:rPr>
          <w:rFonts w:ascii="仿宋_GB2312" w:eastAsia="仿宋_GB2312"/>
          <w:b/>
          <w:bCs/>
          <w:sz w:val="32"/>
          <w:szCs w:val="32"/>
        </w:rPr>
        <w:t xml:space="preserve">    8</w:t>
      </w:r>
      <w:r w:rsidRPr="00207CAD">
        <w:rPr>
          <w:rFonts w:ascii="仿宋_GB2312" w:eastAsia="仿宋_GB2312" w:hAnsi="FZFangSong-Z0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07CAD">
        <w:rPr>
          <w:rFonts w:ascii="仿宋_GB2312" w:eastAsia="仿宋_GB2312" w:hint="eastAsia"/>
          <w:sz w:val="32"/>
          <w:szCs w:val="32"/>
        </w:rPr>
        <w:t>其他费用。</w:t>
      </w:r>
    </w:p>
    <w:p w:rsidR="00F12EC9" w:rsidRDefault="00F12EC9">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九、其它需要说明的事项</w:t>
      </w:r>
    </w:p>
    <w:p w:rsidR="00F12EC9" w:rsidRDefault="00F12EC9">
      <w:pPr>
        <w:tabs>
          <w:tab w:val="left" w:pos="11490"/>
        </w:tabs>
        <w:ind w:firstLineChars="200" w:firstLine="640"/>
        <w:rPr>
          <w:rFonts w:ascii="仿宋" w:eastAsia="仿宋" w:hAnsi="仿宋"/>
          <w:sz w:val="32"/>
          <w:szCs w:val="32"/>
        </w:rPr>
      </w:pPr>
      <w:r>
        <w:rPr>
          <w:rFonts w:ascii="仿宋" w:eastAsia="仿宋" w:hAnsi="仿宋" w:hint="eastAsia"/>
          <w:sz w:val="32"/>
          <w:szCs w:val="32"/>
        </w:rPr>
        <w:t>无其它需要说明的事项。</w:t>
      </w:r>
    </w:p>
    <w:p w:rsidR="00F12EC9" w:rsidRDefault="00F12EC9">
      <w:pPr>
        <w:autoSpaceDE w:val="0"/>
        <w:autoSpaceDN w:val="0"/>
        <w:adjustRightInd w:val="0"/>
        <w:ind w:firstLineChars="200" w:firstLine="640"/>
        <w:jc w:val="left"/>
        <w:rPr>
          <w:rFonts w:ascii="仿宋" w:eastAsia="仿宋" w:hAnsi="仿宋"/>
          <w:sz w:val="32"/>
          <w:szCs w:val="32"/>
        </w:rPr>
      </w:pPr>
    </w:p>
    <w:sectPr w:rsidR="00F12EC9" w:rsidSect="00F95F0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方正书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ZFangSong-Z02">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5E72"/>
    <w:rsid w:val="000377D0"/>
    <w:rsid w:val="00037AF6"/>
    <w:rsid w:val="00045A61"/>
    <w:rsid w:val="00075D5F"/>
    <w:rsid w:val="000C3A19"/>
    <w:rsid w:val="001245BB"/>
    <w:rsid w:val="00130426"/>
    <w:rsid w:val="00156BF4"/>
    <w:rsid w:val="00164031"/>
    <w:rsid w:val="0018185C"/>
    <w:rsid w:val="0018479D"/>
    <w:rsid w:val="001E6E9B"/>
    <w:rsid w:val="00207343"/>
    <w:rsid w:val="00207CAD"/>
    <w:rsid w:val="002417FC"/>
    <w:rsid w:val="00241FD4"/>
    <w:rsid w:val="00251B12"/>
    <w:rsid w:val="002645FB"/>
    <w:rsid w:val="00290744"/>
    <w:rsid w:val="00296113"/>
    <w:rsid w:val="002A144C"/>
    <w:rsid w:val="002A591B"/>
    <w:rsid w:val="002B5488"/>
    <w:rsid w:val="002D0C78"/>
    <w:rsid w:val="002F3E58"/>
    <w:rsid w:val="0030542C"/>
    <w:rsid w:val="00311ACF"/>
    <w:rsid w:val="00311B7A"/>
    <w:rsid w:val="00354345"/>
    <w:rsid w:val="00354578"/>
    <w:rsid w:val="00377B38"/>
    <w:rsid w:val="00387DAF"/>
    <w:rsid w:val="003A42AA"/>
    <w:rsid w:val="003A4525"/>
    <w:rsid w:val="003A69EE"/>
    <w:rsid w:val="003E1A7F"/>
    <w:rsid w:val="003F6C81"/>
    <w:rsid w:val="003F6ED1"/>
    <w:rsid w:val="003F7478"/>
    <w:rsid w:val="00424B7F"/>
    <w:rsid w:val="00451871"/>
    <w:rsid w:val="004537CA"/>
    <w:rsid w:val="00472923"/>
    <w:rsid w:val="00491FEA"/>
    <w:rsid w:val="00492A67"/>
    <w:rsid w:val="004A439E"/>
    <w:rsid w:val="004A7785"/>
    <w:rsid w:val="004E2449"/>
    <w:rsid w:val="004E3066"/>
    <w:rsid w:val="004E4D22"/>
    <w:rsid w:val="004E74CD"/>
    <w:rsid w:val="004F14BB"/>
    <w:rsid w:val="00503846"/>
    <w:rsid w:val="00505D2C"/>
    <w:rsid w:val="00542BDE"/>
    <w:rsid w:val="00542D7E"/>
    <w:rsid w:val="00573562"/>
    <w:rsid w:val="00574E43"/>
    <w:rsid w:val="005B03CA"/>
    <w:rsid w:val="005C0C90"/>
    <w:rsid w:val="005D555C"/>
    <w:rsid w:val="005E1634"/>
    <w:rsid w:val="0061412A"/>
    <w:rsid w:val="00614A29"/>
    <w:rsid w:val="00663D77"/>
    <w:rsid w:val="006705E2"/>
    <w:rsid w:val="006D6291"/>
    <w:rsid w:val="0075393C"/>
    <w:rsid w:val="00776C08"/>
    <w:rsid w:val="00783541"/>
    <w:rsid w:val="00793D26"/>
    <w:rsid w:val="007B4EE0"/>
    <w:rsid w:val="007E1DA8"/>
    <w:rsid w:val="007F6C26"/>
    <w:rsid w:val="00817462"/>
    <w:rsid w:val="0082170A"/>
    <w:rsid w:val="008334AE"/>
    <w:rsid w:val="00836FED"/>
    <w:rsid w:val="00845CD2"/>
    <w:rsid w:val="008502D8"/>
    <w:rsid w:val="00852B0D"/>
    <w:rsid w:val="00874FC4"/>
    <w:rsid w:val="008767E3"/>
    <w:rsid w:val="00881692"/>
    <w:rsid w:val="0089658F"/>
    <w:rsid w:val="008B3CC5"/>
    <w:rsid w:val="008C2BAF"/>
    <w:rsid w:val="008E4261"/>
    <w:rsid w:val="008F4435"/>
    <w:rsid w:val="008F4662"/>
    <w:rsid w:val="00905D08"/>
    <w:rsid w:val="00925753"/>
    <w:rsid w:val="00925CD3"/>
    <w:rsid w:val="00966C5C"/>
    <w:rsid w:val="00970EDC"/>
    <w:rsid w:val="00973104"/>
    <w:rsid w:val="009E2D26"/>
    <w:rsid w:val="009E7396"/>
    <w:rsid w:val="00A01072"/>
    <w:rsid w:val="00A421CD"/>
    <w:rsid w:val="00A72D2E"/>
    <w:rsid w:val="00A77056"/>
    <w:rsid w:val="00A911E7"/>
    <w:rsid w:val="00A939D9"/>
    <w:rsid w:val="00AD6A87"/>
    <w:rsid w:val="00B07F37"/>
    <w:rsid w:val="00B20712"/>
    <w:rsid w:val="00B43238"/>
    <w:rsid w:val="00B75216"/>
    <w:rsid w:val="00B91D52"/>
    <w:rsid w:val="00BA1ACD"/>
    <w:rsid w:val="00C2109D"/>
    <w:rsid w:val="00C4274D"/>
    <w:rsid w:val="00CA7176"/>
    <w:rsid w:val="00CC1291"/>
    <w:rsid w:val="00CD2773"/>
    <w:rsid w:val="00CE143B"/>
    <w:rsid w:val="00CE7982"/>
    <w:rsid w:val="00CF155A"/>
    <w:rsid w:val="00D01473"/>
    <w:rsid w:val="00D637F2"/>
    <w:rsid w:val="00D638E3"/>
    <w:rsid w:val="00D73A1E"/>
    <w:rsid w:val="00D77644"/>
    <w:rsid w:val="00D900E6"/>
    <w:rsid w:val="00D9708D"/>
    <w:rsid w:val="00E137EF"/>
    <w:rsid w:val="00E14843"/>
    <w:rsid w:val="00E167C7"/>
    <w:rsid w:val="00E4508D"/>
    <w:rsid w:val="00E609B3"/>
    <w:rsid w:val="00E62488"/>
    <w:rsid w:val="00E81411"/>
    <w:rsid w:val="00E8647D"/>
    <w:rsid w:val="00EC47F6"/>
    <w:rsid w:val="00ED636D"/>
    <w:rsid w:val="00EE1B43"/>
    <w:rsid w:val="00F12EC9"/>
    <w:rsid w:val="00F153EF"/>
    <w:rsid w:val="00F3253E"/>
    <w:rsid w:val="00F367E8"/>
    <w:rsid w:val="00F55FB6"/>
    <w:rsid w:val="00F66032"/>
    <w:rsid w:val="00F77C10"/>
    <w:rsid w:val="00F958C2"/>
    <w:rsid w:val="00F95F03"/>
    <w:rsid w:val="00FA461C"/>
    <w:rsid w:val="02C776F7"/>
    <w:rsid w:val="232E33EB"/>
    <w:rsid w:val="42403699"/>
    <w:rsid w:val="56CB7F16"/>
    <w:rsid w:val="7F753F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0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5F03"/>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F95F03"/>
    <w:rPr>
      <w:rFonts w:ascii="Times New Roman" w:eastAsia="宋体" w:hAnsi="Times New Roman" w:cs="Times New Roman"/>
      <w:sz w:val="18"/>
      <w:szCs w:val="18"/>
    </w:rPr>
  </w:style>
  <w:style w:type="paragraph" w:styleId="Header">
    <w:name w:val="header"/>
    <w:basedOn w:val="Normal"/>
    <w:link w:val="HeaderChar"/>
    <w:uiPriority w:val="99"/>
    <w:rsid w:val="00F95F0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F95F03"/>
    <w:rPr>
      <w:rFonts w:ascii="Times New Roman" w:eastAsia="宋体" w:hAnsi="Times New Roman" w:cs="Times New Roman"/>
      <w:sz w:val="18"/>
      <w:szCs w:val="18"/>
    </w:rPr>
  </w:style>
  <w:style w:type="paragraph" w:styleId="TOC1">
    <w:name w:val="toc 1"/>
    <w:basedOn w:val="Normal"/>
    <w:next w:val="Normal"/>
    <w:uiPriority w:val="99"/>
    <w:rsid w:val="00F95F03"/>
    <w:rPr>
      <w:rFonts w:ascii="Times New Roman" w:hAnsi="Times New Roman"/>
      <w:szCs w:val="24"/>
    </w:rPr>
  </w:style>
  <w:style w:type="paragraph" w:styleId="TOC2">
    <w:name w:val="toc 2"/>
    <w:basedOn w:val="Normal"/>
    <w:next w:val="Normal"/>
    <w:uiPriority w:val="99"/>
    <w:rsid w:val="00F95F03"/>
    <w:pPr>
      <w:ind w:leftChars="200" w:left="420"/>
    </w:pPr>
    <w:rPr>
      <w:rFonts w:ascii="Times New Roman" w:hAnsi="Times New Roman"/>
      <w:szCs w:val="24"/>
    </w:rPr>
  </w:style>
  <w:style w:type="paragraph" w:customStyle="1" w:styleId="Default">
    <w:name w:val="Default"/>
    <w:uiPriority w:val="99"/>
    <w:rsid w:val="00387DAF"/>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1879</Words>
  <Characters>10713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微软中国</cp:lastModifiedBy>
  <cp:revision>90</cp:revision>
  <dcterms:created xsi:type="dcterms:W3CDTF">2017-01-13T03:22:00Z</dcterms:created>
  <dcterms:modified xsi:type="dcterms:W3CDTF">2017-04-21T03:42:00Z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